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题库改写复核册（45 题）</w:t>
      </w:r>
    </w:p>
    <w:p>
      <w:pPr>
        <w:spacing w:after="60"/>
      </w:pPr>
      <w:r>
        <w:rPr>
          <w:b w:val="0"/>
          <w:i w:val="0"/>
          <w:color w:val="5A5A5A"/>
          <w:sz w:val="18"/>
        </w:rPr>
        <w:t>日期：2026-10-24。分支：claude/trusting-fermat-7hxmm4。</w:t>
      </w:r>
    </w:p>
    <w:p>
      <w:pPr>
        <w:pStyle w:val="Heading1"/>
      </w:pPr>
      <w:r>
        <w:t>请先读这一页</w:t>
      </w:r>
    </w:p>
    <w:p>
      <w:pPr>
        <w:pStyle w:val="ListBullet"/>
        <w:spacing w:after="40"/>
      </w:pPr>
      <w:r>
        <w:t>这 45 题都来自 2026-10-14 你已复核并签核的内容。本轮只改了其中的选项文字、错误选项解析和错误类型标注。题干、情境、正确答案位置（A/B/C/D）、主解析、出处均未改动（已逐题机器核对，45 题全部一致）。</w:t>
      </w:r>
    </w:p>
    <w:p>
      <w:pPr>
        <w:pStyle w:val="ListBullet"/>
        <w:spacing w:after="40"/>
      </w:pPr>
      <w:r>
        <w:t>改动内容：每题换掉 2 个"套路化"错误选项（换成本身合理、但范围太窄或时机偏早的做法），正确选项改成较平实的措辞（意思不变）。目的是让学员不能只靠"治理关键词"猜出答案。</w:t>
      </w:r>
    </w:p>
    <w:p>
      <w:pPr>
        <w:pStyle w:val="ListBullet"/>
        <w:spacing w:after="40"/>
      </w:pPr>
      <w:r>
        <w:t>每题请重点判断三件事：①正确答案是否仍然唯一且正确；②新写的错误选项是否"明显劣于正确答案"，而不是"也说得通"（BEST/FIRST/MOST/PRIMARY 题只能有一个最优答案）；③正确选项的新措辞有没有改变原意。</w:t>
      </w:r>
    </w:p>
    <w:p>
      <w:pPr>
        <w:pStyle w:val="ListBullet"/>
        <w:spacing w:after="40"/>
      </w:pPr>
      <w:r>
        <w:t>"改写前"列是你签核过的原文；"改写后"列是现在题库里的文字；带 ✱ 的是被改动的选项；正确答案用 ✓ 标出。</w:t>
      </w:r>
    </w:p>
    <w:p>
      <w:pPr>
        <w:pStyle w:val="ListBullet"/>
        <w:spacing w:after="40"/>
      </w:pPr>
      <w:r>
        <w:t>注意：选项字母是题库的规范顺序。练习和模考时界面会随机打乱选项顺序。</w:t>
      </w:r>
    </w:p>
    <w:p>
      <w:pPr>
        <w:pStyle w:val="ListBullet"/>
        <w:spacing w:after="40"/>
      </w:pPr>
      <w:r>
        <w:t>已知不足：主解析我没有改，其中仍用原正确选项的措辞（例如 charter、steering committee、risk appetite），而新的正确选项措辞更平实。意思相同，但读起来可能不完全呼应。如果你认为主解析也要同步改，请在该题意见栏写明，我来改。</w:t>
      </w:r>
    </w:p>
    <w:p>
      <w:pPr>
        <w:pStyle w:val="ListBullet"/>
        <w:spacing w:after="40"/>
      </w:pPr>
      <w:r>
        <w:t>如果你对某题不满意，请在"意见"栏写明；最简单的处理是让我把该题恢复为改写前原文（删掉 src/data/distractorRewrites.ts 里对应条目即可）。</w:t>
      </w:r>
    </w:p>
    <w:p>
      <w:pPr>
        <w:pStyle w:val="ListBullet"/>
        <w:spacing w:after="40"/>
      </w:pPr>
      <w:r>
        <w:t>出处字段沿用原文，我没有对照原始条文核验，也没有新增 sourceUrl。</w:t>
      </w:r>
    </w:p>
    <w:p>
      <w:pPr>
        <w:pStyle w:val="Heading1"/>
      </w:pPr>
      <w:r>
        <w:t>总览</w:t>
      </w:r>
    </w:p>
    <w:tbl>
      <w:tblPr>
        <w:tblStyle w:val="LightGrid-Accent1"/>
        <w:tblW w:type="auto" w:w="0"/>
        <w:tblLayout w:type="fixed"/>
        <w:tblLook w:firstColumn="1" w:firstRow="1" w:lastColumn="0" w:lastRow="0" w:noHBand="0" w:noVBand="1" w:val="04A0"/>
      </w:tblPr>
      <w:tblGrid>
        <w:gridCol w:w="567"/>
        <w:gridCol w:w="1587"/>
        <w:gridCol w:w="3969"/>
        <w:gridCol w:w="1020"/>
        <w:gridCol w:w="1247"/>
        <w:gridCol w:w="1247"/>
        <w:gridCol w:w="3969"/>
      </w:tblGrid>
      <w:tr>
        <w:tc>
          <w:tcPr>
            <w:tcW w:type="dxa" w:w="567"/>
          </w:tcPr>
          <w:p>
            <w:r/>
            <w:r>
              <w:rPr>
                <w:b/>
              </w:rPr>
              <w:t>#</w:t>
            </w:r>
          </w:p>
        </w:tc>
        <w:tc>
          <w:tcPr>
            <w:tcW w:type="dxa" w:w="1587"/>
          </w:tcPr>
          <w:p>
            <w:r/>
            <w:r>
              <w:rPr>
                <w:b/>
              </w:rPr>
              <w:t>批次</w:t>
            </w:r>
          </w:p>
        </w:tc>
        <w:tc>
          <w:tcPr>
            <w:tcW w:type="dxa" w:w="3969"/>
          </w:tcPr>
          <w:p>
            <w:r/>
            <w:r>
              <w:rPr>
                <w:b/>
              </w:rPr>
              <w:t>题目 ID（后段）</w:t>
            </w:r>
          </w:p>
        </w:tc>
        <w:tc>
          <w:tcPr>
            <w:tcW w:type="dxa" w:w="1020"/>
          </w:tcPr>
          <w:p>
            <w:r/>
            <w:r>
              <w:rPr>
                <w:b/>
              </w:rPr>
              <w:t>子题</w:t>
            </w:r>
          </w:p>
        </w:tc>
        <w:tc>
          <w:tcPr>
            <w:tcW w:type="dxa" w:w="1247"/>
          </w:tcPr>
          <w:p>
            <w:r/>
            <w:r>
              <w:rPr>
                <w:b/>
              </w:rPr>
              <w:t>题型</w:t>
            </w:r>
          </w:p>
        </w:tc>
        <w:tc>
          <w:tcPr>
            <w:tcW w:type="dxa" w:w="1247"/>
          </w:tcPr>
          <w:p>
            <w:r/>
            <w:r>
              <w:rPr>
                <w:b/>
              </w:rPr>
              <w:t>改动选项数</w:t>
            </w:r>
          </w:p>
        </w:tc>
        <w:tc>
          <w:tcPr>
            <w:tcW w:type="dxa" w:w="3969"/>
          </w:tcPr>
          <w:p>
            <w:r/>
            <w:r>
              <w:rPr>
                <w:b/>
              </w:rPr>
              <w:t>你的决定（通过/修改/恢复原文）</w:t>
            </w:r>
          </w:p>
        </w:tc>
      </w:tr>
      <w:tr>
        <w:tc>
          <w:tcPr>
            <w:tcW w:type="dxa" w:w="567"/>
          </w:tcPr>
          <w:p>
            <w:r/>
            <w:r>
              <w:rPr>
                <w:b w:val="0"/>
              </w:rPr>
              <w:t>1</w:t>
            </w:r>
          </w:p>
        </w:tc>
        <w:tc>
          <w:tcPr>
            <w:tcW w:type="dxa" w:w="1587"/>
          </w:tcPr>
          <w:p>
            <w:r/>
            <w:r>
              <w:rPr>
                <w:b w:val="0"/>
              </w:rPr>
              <w:t>第一批（试点）</w:t>
            </w:r>
          </w:p>
        </w:tc>
        <w:tc>
          <w:tcPr>
            <w:tcW w:type="dxa" w:w="3969"/>
          </w:tcPr>
          <w:p>
            <w:r/>
            <w:r>
              <w:rPr>
                <w:b w:val="0"/>
              </w:rPr>
              <w:t>1791941016903-0</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w:t>
            </w:r>
          </w:p>
        </w:tc>
        <w:tc>
          <w:tcPr>
            <w:tcW w:type="dxa" w:w="1587"/>
          </w:tcPr>
          <w:p>
            <w:r/>
            <w:r>
              <w:rPr>
                <w:b w:val="0"/>
              </w:rPr>
              <w:t>第一批（试点）</w:t>
            </w:r>
          </w:p>
        </w:tc>
        <w:tc>
          <w:tcPr>
            <w:tcW w:type="dxa" w:w="3969"/>
          </w:tcPr>
          <w:p>
            <w:r/>
            <w:r>
              <w:rPr>
                <w:b w:val="0"/>
              </w:rPr>
              <w:t>1791941523762-25</w:t>
            </w:r>
          </w:p>
        </w:tc>
        <w:tc>
          <w:tcPr>
            <w:tcW w:type="dxa" w:w="1020"/>
          </w:tcPr>
          <w:p>
            <w:r/>
            <w:r>
              <w:rPr>
                <w:b w:val="0"/>
              </w:rPr>
              <w:t>D2.1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3</w:t>
            </w:r>
          </w:p>
        </w:tc>
        <w:tc>
          <w:tcPr>
            <w:tcW w:type="dxa" w:w="1587"/>
          </w:tcPr>
          <w:p>
            <w:r/>
            <w:r>
              <w:rPr>
                <w:b w:val="0"/>
              </w:rPr>
              <w:t>第一批（试点）</w:t>
            </w:r>
          </w:p>
        </w:tc>
        <w:tc>
          <w:tcPr>
            <w:tcW w:type="dxa" w:w="3969"/>
          </w:tcPr>
          <w:p>
            <w:r/>
            <w:r>
              <w:rPr>
                <w:b w:val="0"/>
              </w:rPr>
              <w:t>1791943112438-10-qh1bn</w:t>
            </w:r>
          </w:p>
        </w:tc>
        <w:tc>
          <w:tcPr>
            <w:tcW w:type="dxa" w:w="1020"/>
          </w:tcPr>
          <w:p>
            <w:r/>
            <w:r>
              <w:rPr>
                <w:b w:val="0"/>
              </w:rPr>
              <w:t>D3.1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4</w:t>
            </w:r>
          </w:p>
        </w:tc>
        <w:tc>
          <w:tcPr>
            <w:tcW w:type="dxa" w:w="1587"/>
          </w:tcPr>
          <w:p>
            <w:r/>
            <w:r>
              <w:rPr>
                <w:b w:val="0"/>
              </w:rPr>
              <w:t>第一批（试点）</w:t>
            </w:r>
          </w:p>
        </w:tc>
        <w:tc>
          <w:tcPr>
            <w:tcW w:type="dxa" w:w="3969"/>
          </w:tcPr>
          <w:p>
            <w:r/>
            <w:r>
              <w:rPr>
                <w:b w:val="0"/>
              </w:rPr>
              <w:t>1791943341335-60-xaq5w</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5</w:t>
            </w:r>
          </w:p>
        </w:tc>
        <w:tc>
          <w:tcPr>
            <w:tcW w:type="dxa" w:w="1587"/>
          </w:tcPr>
          <w:p>
            <w:r/>
            <w:r>
              <w:rPr>
                <w:b w:val="0"/>
              </w:rPr>
              <w:t>第一批（试点）</w:t>
            </w:r>
          </w:p>
        </w:tc>
        <w:tc>
          <w:tcPr>
            <w:tcW w:type="dxa" w:w="3969"/>
          </w:tcPr>
          <w:p>
            <w:r/>
            <w:r>
              <w:rPr>
                <w:b w:val="0"/>
              </w:rPr>
              <w:t>1791943535745-105-0p7tf</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6</w:t>
            </w:r>
          </w:p>
        </w:tc>
        <w:tc>
          <w:tcPr>
            <w:tcW w:type="dxa" w:w="1587"/>
          </w:tcPr>
          <w:p>
            <w:r/>
            <w:r>
              <w:rPr>
                <w:b w:val="0"/>
              </w:rPr>
              <w:t>第一批（试点）</w:t>
            </w:r>
          </w:p>
        </w:tc>
        <w:tc>
          <w:tcPr>
            <w:tcW w:type="dxa" w:w="3969"/>
          </w:tcPr>
          <w:p>
            <w:r/>
            <w:r>
              <w:rPr>
                <w:b w:val="0"/>
              </w:rPr>
              <w:t>1791943718126-145-870vw</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7</w:t>
            </w:r>
          </w:p>
        </w:tc>
        <w:tc>
          <w:tcPr>
            <w:tcW w:type="dxa" w:w="1587"/>
          </w:tcPr>
          <w:p>
            <w:r/>
            <w:r>
              <w:rPr>
                <w:b w:val="0"/>
              </w:rPr>
              <w:t>第一批（试点）</w:t>
            </w:r>
          </w:p>
        </w:tc>
        <w:tc>
          <w:tcPr>
            <w:tcW w:type="dxa" w:w="3969"/>
          </w:tcPr>
          <w:p>
            <w:r/>
            <w:r>
              <w:rPr>
                <w:b w:val="0"/>
              </w:rPr>
              <w:t>1791941015830-1</w:t>
            </w:r>
          </w:p>
        </w:tc>
        <w:tc>
          <w:tcPr>
            <w:tcW w:type="dxa" w:w="1020"/>
          </w:tcPr>
          <w:p>
            <w:r/>
            <w:r>
              <w:rPr>
                <w:b w:val="0"/>
              </w:rPr>
              <w:t>D2.2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8</w:t>
            </w:r>
          </w:p>
        </w:tc>
        <w:tc>
          <w:tcPr>
            <w:tcW w:type="dxa" w:w="1587"/>
          </w:tcPr>
          <w:p>
            <w:r/>
            <w:r>
              <w:rPr>
                <w:b w:val="0"/>
              </w:rPr>
              <w:t>第一批（试点）</w:t>
            </w:r>
          </w:p>
        </w:tc>
        <w:tc>
          <w:tcPr>
            <w:tcW w:type="dxa" w:w="3969"/>
          </w:tcPr>
          <w:p>
            <w:r/>
            <w:r>
              <w:rPr>
                <w:b w:val="0"/>
              </w:rPr>
              <w:t>1791941520433-26</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9</w:t>
            </w:r>
          </w:p>
        </w:tc>
        <w:tc>
          <w:tcPr>
            <w:tcW w:type="dxa" w:w="1587"/>
          </w:tcPr>
          <w:p>
            <w:r/>
            <w:r>
              <w:rPr>
                <w:b w:val="0"/>
              </w:rPr>
              <w:t>第一批（试点）</w:t>
            </w:r>
          </w:p>
        </w:tc>
        <w:tc>
          <w:tcPr>
            <w:tcW w:type="dxa" w:w="3969"/>
          </w:tcPr>
          <w:p>
            <w:r/>
            <w:r>
              <w:rPr>
                <w:b w:val="0"/>
              </w:rPr>
              <w:t>1791943105271-11-qkes3</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10</w:t>
            </w:r>
          </w:p>
        </w:tc>
        <w:tc>
          <w:tcPr>
            <w:tcW w:type="dxa" w:w="1587"/>
          </w:tcPr>
          <w:p>
            <w:r/>
            <w:r>
              <w:rPr>
                <w:b w:val="0"/>
              </w:rPr>
              <w:t>第一批（试点）</w:t>
            </w:r>
          </w:p>
        </w:tc>
        <w:tc>
          <w:tcPr>
            <w:tcW w:type="dxa" w:w="3969"/>
          </w:tcPr>
          <w:p>
            <w:r/>
            <w:r>
              <w:rPr>
                <w:b w:val="0"/>
              </w:rPr>
              <w:t>1791943347849-61-aq1v4</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11</w:t>
            </w:r>
          </w:p>
        </w:tc>
        <w:tc>
          <w:tcPr>
            <w:tcW w:type="dxa" w:w="1587"/>
          </w:tcPr>
          <w:p>
            <w:r/>
            <w:r>
              <w:rPr>
                <w:b w:val="0"/>
              </w:rPr>
              <w:t>第一批（试点）</w:t>
            </w:r>
          </w:p>
        </w:tc>
        <w:tc>
          <w:tcPr>
            <w:tcW w:type="dxa" w:w="3969"/>
          </w:tcPr>
          <w:p>
            <w:r/>
            <w:r>
              <w:rPr>
                <w:b w:val="0"/>
              </w:rPr>
              <w:t>1791943556341-111-w9yo1</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12</w:t>
            </w:r>
          </w:p>
        </w:tc>
        <w:tc>
          <w:tcPr>
            <w:tcW w:type="dxa" w:w="1587"/>
          </w:tcPr>
          <w:p>
            <w:r/>
            <w:r>
              <w:rPr>
                <w:b w:val="0"/>
              </w:rPr>
              <w:t>第一批（试点）</w:t>
            </w:r>
          </w:p>
        </w:tc>
        <w:tc>
          <w:tcPr>
            <w:tcW w:type="dxa" w:w="3969"/>
          </w:tcPr>
          <w:p>
            <w:r/>
            <w:r>
              <w:rPr>
                <w:b w:val="0"/>
              </w:rPr>
              <w:t>1791943864279-171-tsv4n</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13</w:t>
            </w:r>
          </w:p>
        </w:tc>
        <w:tc>
          <w:tcPr>
            <w:tcW w:type="dxa" w:w="1587"/>
          </w:tcPr>
          <w:p>
            <w:r/>
            <w:r>
              <w:rPr>
                <w:b w:val="0"/>
              </w:rPr>
              <w:t>第二批</w:t>
            </w:r>
          </w:p>
        </w:tc>
        <w:tc>
          <w:tcPr>
            <w:tcW w:type="dxa" w:w="3969"/>
          </w:tcPr>
          <w:p>
            <w:r/>
            <w:r>
              <w:rPr>
                <w:b w:val="0"/>
              </w:rPr>
              <w:t>1791941151242-25</w:t>
            </w:r>
          </w:p>
        </w:tc>
        <w:tc>
          <w:tcPr>
            <w:tcW w:type="dxa" w:w="1020"/>
          </w:tcPr>
          <w:p>
            <w:r/>
            <w:r>
              <w:rPr>
                <w:b w:val="0"/>
              </w:rPr>
              <w:t>D2.1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14</w:t>
            </w:r>
          </w:p>
        </w:tc>
        <w:tc>
          <w:tcPr>
            <w:tcW w:type="dxa" w:w="1587"/>
          </w:tcPr>
          <w:p>
            <w:r/>
            <w:r>
              <w:rPr>
                <w:b w:val="0"/>
              </w:rPr>
              <w:t>第二批</w:t>
            </w:r>
          </w:p>
        </w:tc>
        <w:tc>
          <w:tcPr>
            <w:tcW w:type="dxa" w:w="3969"/>
          </w:tcPr>
          <w:p>
            <w:r/>
            <w:r>
              <w:rPr>
                <w:b w:val="0"/>
              </w:rPr>
              <w:t>1791941166271-30</w:t>
            </w:r>
          </w:p>
        </w:tc>
        <w:tc>
          <w:tcPr>
            <w:tcW w:type="dxa" w:w="1020"/>
          </w:tcPr>
          <w:p>
            <w:r/>
            <w:r>
              <w:rPr>
                <w:b w:val="0"/>
              </w:rPr>
              <w:t>D3.1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15</w:t>
            </w:r>
          </w:p>
        </w:tc>
        <w:tc>
          <w:tcPr>
            <w:tcW w:type="dxa" w:w="1587"/>
          </w:tcPr>
          <w:p>
            <w:r/>
            <w:r>
              <w:rPr>
                <w:b w:val="0"/>
              </w:rPr>
              <w:t>第二批</w:t>
            </w:r>
          </w:p>
        </w:tc>
        <w:tc>
          <w:tcPr>
            <w:tcW w:type="dxa" w:w="3969"/>
          </w:tcPr>
          <w:p>
            <w:r/>
            <w:r>
              <w:rPr>
                <w:b w:val="0"/>
              </w:rPr>
              <w:t>1791941200295-36</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16</w:t>
            </w:r>
          </w:p>
        </w:tc>
        <w:tc>
          <w:tcPr>
            <w:tcW w:type="dxa" w:w="1587"/>
          </w:tcPr>
          <w:p>
            <w:r/>
            <w:r>
              <w:rPr>
                <w:b w:val="0"/>
              </w:rPr>
              <w:t>第二批</w:t>
            </w:r>
          </w:p>
        </w:tc>
        <w:tc>
          <w:tcPr>
            <w:tcW w:type="dxa" w:w="3969"/>
          </w:tcPr>
          <w:p>
            <w:r/>
            <w:r>
              <w:rPr>
                <w:b w:val="0"/>
              </w:rPr>
              <w:t>1791941406549-0</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17</w:t>
            </w:r>
          </w:p>
        </w:tc>
        <w:tc>
          <w:tcPr>
            <w:tcW w:type="dxa" w:w="1587"/>
          </w:tcPr>
          <w:p>
            <w:r/>
            <w:r>
              <w:rPr>
                <w:b w:val="0"/>
              </w:rPr>
              <w:t>第二批</w:t>
            </w:r>
          </w:p>
        </w:tc>
        <w:tc>
          <w:tcPr>
            <w:tcW w:type="dxa" w:w="3969"/>
          </w:tcPr>
          <w:p>
            <w:r/>
            <w:r>
              <w:rPr>
                <w:b w:val="0"/>
              </w:rPr>
              <w:t>1791941406550-1</w:t>
            </w:r>
          </w:p>
        </w:tc>
        <w:tc>
          <w:tcPr>
            <w:tcW w:type="dxa" w:w="1020"/>
          </w:tcPr>
          <w:p>
            <w:r/>
            <w:r>
              <w:rPr>
                <w:b w:val="0"/>
              </w:rPr>
              <w:t>D2.2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18</w:t>
            </w:r>
          </w:p>
        </w:tc>
        <w:tc>
          <w:tcPr>
            <w:tcW w:type="dxa" w:w="1587"/>
          </w:tcPr>
          <w:p>
            <w:r/>
            <w:r>
              <w:rPr>
                <w:b w:val="0"/>
              </w:rPr>
              <w:t>第二批</w:t>
            </w:r>
          </w:p>
        </w:tc>
        <w:tc>
          <w:tcPr>
            <w:tcW w:type="dxa" w:w="3969"/>
          </w:tcPr>
          <w:p>
            <w:r/>
            <w:r>
              <w:rPr>
                <w:b w:val="0"/>
              </w:rPr>
              <w:t>1791941424799-5</w:t>
            </w:r>
          </w:p>
        </w:tc>
        <w:tc>
          <w:tcPr>
            <w:tcW w:type="dxa" w:w="1020"/>
          </w:tcPr>
          <w:p>
            <w:r/>
            <w:r>
              <w:rPr>
                <w:b w:val="0"/>
              </w:rPr>
              <w:t>D2.1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19</w:t>
            </w:r>
          </w:p>
        </w:tc>
        <w:tc>
          <w:tcPr>
            <w:tcW w:type="dxa" w:w="1587"/>
          </w:tcPr>
          <w:p>
            <w:r/>
            <w:r>
              <w:rPr>
                <w:b w:val="0"/>
              </w:rPr>
              <w:t>第二批</w:t>
            </w:r>
          </w:p>
        </w:tc>
        <w:tc>
          <w:tcPr>
            <w:tcW w:type="dxa" w:w="3969"/>
          </w:tcPr>
          <w:p>
            <w:r/>
            <w:r>
              <w:rPr>
                <w:b w:val="0"/>
              </w:rPr>
              <w:t>1791941421172-6</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20</w:t>
            </w:r>
          </w:p>
        </w:tc>
        <w:tc>
          <w:tcPr>
            <w:tcW w:type="dxa" w:w="1587"/>
          </w:tcPr>
          <w:p>
            <w:r/>
            <w:r>
              <w:rPr>
                <w:b w:val="0"/>
              </w:rPr>
              <w:t>第二批</w:t>
            </w:r>
          </w:p>
        </w:tc>
        <w:tc>
          <w:tcPr>
            <w:tcW w:type="dxa" w:w="3969"/>
          </w:tcPr>
          <w:p>
            <w:r/>
            <w:r>
              <w:rPr>
                <w:b w:val="0"/>
              </w:rPr>
              <w:t>1791941442227-10</w:t>
            </w:r>
          </w:p>
        </w:tc>
        <w:tc>
          <w:tcPr>
            <w:tcW w:type="dxa" w:w="1020"/>
          </w:tcPr>
          <w:p>
            <w:r/>
            <w:r>
              <w:rPr>
                <w:b w:val="0"/>
              </w:rPr>
              <w:t>D3.1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21</w:t>
            </w:r>
          </w:p>
        </w:tc>
        <w:tc>
          <w:tcPr>
            <w:tcW w:type="dxa" w:w="1587"/>
          </w:tcPr>
          <w:p>
            <w:r/>
            <w:r>
              <w:rPr>
                <w:b w:val="0"/>
              </w:rPr>
              <w:t>第二批</w:t>
            </w:r>
          </w:p>
        </w:tc>
        <w:tc>
          <w:tcPr>
            <w:tcW w:type="dxa" w:w="3969"/>
          </w:tcPr>
          <w:p>
            <w:r/>
            <w:r>
              <w:rPr>
                <w:b w:val="0"/>
              </w:rPr>
              <w:t>1791941470950-16</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22</w:t>
            </w:r>
          </w:p>
        </w:tc>
        <w:tc>
          <w:tcPr>
            <w:tcW w:type="dxa" w:w="1587"/>
          </w:tcPr>
          <w:p>
            <w:r/>
            <w:r>
              <w:rPr>
                <w:b w:val="0"/>
              </w:rPr>
              <w:t>第二批</w:t>
            </w:r>
          </w:p>
        </w:tc>
        <w:tc>
          <w:tcPr>
            <w:tcW w:type="dxa" w:w="3969"/>
          </w:tcPr>
          <w:p>
            <w:r/>
            <w:r>
              <w:rPr>
                <w:b w:val="0"/>
              </w:rPr>
              <w:t>1791941501443-20</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23</w:t>
            </w:r>
          </w:p>
        </w:tc>
        <w:tc>
          <w:tcPr>
            <w:tcW w:type="dxa" w:w="1587"/>
          </w:tcPr>
          <w:p>
            <w:r/>
            <w:r>
              <w:rPr>
                <w:b w:val="0"/>
              </w:rPr>
              <w:t>第二批</w:t>
            </w:r>
          </w:p>
        </w:tc>
        <w:tc>
          <w:tcPr>
            <w:tcW w:type="dxa" w:w="3969"/>
          </w:tcPr>
          <w:p>
            <w:r/>
            <w:r>
              <w:rPr>
                <w:b w:val="0"/>
              </w:rPr>
              <w:t>1791941501551-21</w:t>
            </w:r>
          </w:p>
        </w:tc>
        <w:tc>
          <w:tcPr>
            <w:tcW w:type="dxa" w:w="1020"/>
          </w:tcPr>
          <w:p>
            <w:r/>
            <w:r>
              <w:rPr>
                <w:b w:val="0"/>
              </w:rPr>
              <w:t>D2.2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24</w:t>
            </w:r>
          </w:p>
        </w:tc>
        <w:tc>
          <w:tcPr>
            <w:tcW w:type="dxa" w:w="1587"/>
          </w:tcPr>
          <w:p>
            <w:r/>
            <w:r>
              <w:rPr>
                <w:b w:val="0"/>
              </w:rPr>
              <w:t>第二批</w:t>
            </w:r>
          </w:p>
        </w:tc>
        <w:tc>
          <w:tcPr>
            <w:tcW w:type="dxa" w:w="3969"/>
          </w:tcPr>
          <w:p>
            <w:r/>
            <w:r>
              <w:rPr>
                <w:b w:val="0"/>
              </w:rPr>
              <w:t>1791942376652-6</w:t>
            </w:r>
          </w:p>
        </w:tc>
        <w:tc>
          <w:tcPr>
            <w:tcW w:type="dxa" w:w="1020"/>
          </w:tcPr>
          <w:p>
            <w:r/>
            <w:r>
              <w:rPr>
                <w:b w:val="0"/>
              </w:rPr>
              <w:t>D3.2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25</w:t>
            </w:r>
          </w:p>
        </w:tc>
        <w:tc>
          <w:tcPr>
            <w:tcW w:type="dxa" w:w="1587"/>
          </w:tcPr>
          <w:p>
            <w:r/>
            <w:r>
              <w:rPr>
                <w:b w:val="0"/>
              </w:rPr>
              <w:t>第二批</w:t>
            </w:r>
          </w:p>
        </w:tc>
        <w:tc>
          <w:tcPr>
            <w:tcW w:type="dxa" w:w="3969"/>
          </w:tcPr>
          <w:p>
            <w:r/>
            <w:r>
              <w:rPr>
                <w:b w:val="0"/>
              </w:rPr>
              <w:t>1791943579681-115-bbbve</w:t>
            </w:r>
          </w:p>
        </w:tc>
        <w:tc>
          <w:tcPr>
            <w:tcW w:type="dxa" w:w="1020"/>
          </w:tcPr>
          <w:p>
            <w:r/>
            <w:r>
              <w:rPr>
                <w:b w:val="0"/>
              </w:rPr>
              <w:t>D1.6</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26</w:t>
            </w:r>
          </w:p>
        </w:tc>
        <w:tc>
          <w:tcPr>
            <w:tcW w:type="dxa" w:w="1587"/>
          </w:tcPr>
          <w:p>
            <w:r/>
            <w:r>
              <w:rPr>
                <w:b w:val="0"/>
              </w:rPr>
              <w:t>第三批</w:t>
            </w:r>
          </w:p>
        </w:tc>
        <w:tc>
          <w:tcPr>
            <w:tcW w:type="dxa" w:w="3969"/>
          </w:tcPr>
          <w:p>
            <w:r/>
            <w:r>
              <w:rPr>
                <w:b w:val="0"/>
              </w:rPr>
              <w:t>1791942377513-8</w:t>
            </w:r>
          </w:p>
        </w:tc>
        <w:tc>
          <w:tcPr>
            <w:tcW w:type="dxa" w:w="1020"/>
          </w:tcPr>
          <w:p>
            <w:r/>
            <w:r>
              <w:rPr>
                <w:b w:val="0"/>
              </w:rPr>
              <w:t>D1.4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27</w:t>
            </w:r>
          </w:p>
        </w:tc>
        <w:tc>
          <w:tcPr>
            <w:tcW w:type="dxa" w:w="1587"/>
          </w:tcPr>
          <w:p>
            <w:r/>
            <w:r>
              <w:rPr>
                <w:b w:val="0"/>
              </w:rPr>
              <w:t>第三批</w:t>
            </w:r>
          </w:p>
        </w:tc>
        <w:tc>
          <w:tcPr>
            <w:tcW w:type="dxa" w:w="3969"/>
          </w:tcPr>
          <w:p>
            <w:r/>
            <w:r>
              <w:rPr>
                <w:b w:val="0"/>
              </w:rPr>
              <w:t>1791943073272-4-jq50e</w:t>
            </w:r>
          </w:p>
        </w:tc>
        <w:tc>
          <w:tcPr>
            <w:tcW w:type="dxa" w:w="1020"/>
          </w:tcPr>
          <w:p>
            <w:r/>
            <w:r>
              <w:rPr>
                <w:b w:val="0"/>
              </w:rPr>
              <w:t>D1.5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28</w:t>
            </w:r>
          </w:p>
        </w:tc>
        <w:tc>
          <w:tcPr>
            <w:tcW w:type="dxa" w:w="1587"/>
          </w:tcPr>
          <w:p>
            <w:r/>
            <w:r>
              <w:rPr>
                <w:b w:val="0"/>
              </w:rPr>
              <w:t>第三批</w:t>
            </w:r>
          </w:p>
        </w:tc>
        <w:tc>
          <w:tcPr>
            <w:tcW w:type="dxa" w:w="3969"/>
          </w:tcPr>
          <w:p>
            <w:r/>
            <w:r>
              <w:rPr>
                <w:b w:val="0"/>
              </w:rPr>
              <w:t>1791941483700-19</w:t>
            </w:r>
          </w:p>
        </w:tc>
        <w:tc>
          <w:tcPr>
            <w:tcW w:type="dxa" w:w="1020"/>
          </w:tcPr>
          <w:p>
            <w:r/>
            <w:r>
              <w:rPr>
                <w:b w:val="0"/>
              </w:rPr>
              <w:t>D1.9</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29</w:t>
            </w:r>
          </w:p>
        </w:tc>
        <w:tc>
          <w:tcPr>
            <w:tcW w:type="dxa" w:w="1587"/>
          </w:tcPr>
          <w:p>
            <w:r/>
            <w:r>
              <w:rPr>
                <w:b w:val="0"/>
              </w:rPr>
              <w:t>第三批</w:t>
            </w:r>
          </w:p>
        </w:tc>
        <w:tc>
          <w:tcPr>
            <w:tcW w:type="dxa" w:w="3969"/>
          </w:tcPr>
          <w:p>
            <w:r/>
            <w:r>
              <w:rPr>
                <w:b w:val="0"/>
              </w:rPr>
              <w:t>1791942430355-17</w:t>
            </w:r>
          </w:p>
        </w:tc>
        <w:tc>
          <w:tcPr>
            <w:tcW w:type="dxa" w:w="1020"/>
          </w:tcPr>
          <w:p>
            <w:r/>
            <w:r>
              <w:rPr>
                <w:b w:val="0"/>
              </w:rPr>
              <w:t>D2.3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30</w:t>
            </w:r>
          </w:p>
        </w:tc>
        <w:tc>
          <w:tcPr>
            <w:tcW w:type="dxa" w:w="1587"/>
          </w:tcPr>
          <w:p>
            <w:r/>
            <w:r>
              <w:rPr>
                <w:b w:val="0"/>
              </w:rPr>
              <w:t>第三批</w:t>
            </w:r>
          </w:p>
        </w:tc>
        <w:tc>
          <w:tcPr>
            <w:tcW w:type="dxa" w:w="3969"/>
          </w:tcPr>
          <w:p>
            <w:r/>
            <w:r>
              <w:rPr>
                <w:b w:val="0"/>
              </w:rPr>
              <w:t>1791941106674-13</w:t>
            </w:r>
          </w:p>
        </w:tc>
        <w:tc>
          <w:tcPr>
            <w:tcW w:type="dxa" w:w="1020"/>
          </w:tcPr>
          <w:p>
            <w:r/>
            <w:r>
              <w:rPr>
                <w:b w:val="0"/>
              </w:rPr>
              <w:t>D2.4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31</w:t>
            </w:r>
          </w:p>
        </w:tc>
        <w:tc>
          <w:tcPr>
            <w:tcW w:type="dxa" w:w="1587"/>
          </w:tcPr>
          <w:p>
            <w:r/>
            <w:r>
              <w:rPr>
                <w:b w:val="0"/>
              </w:rPr>
              <w:t>第三批</w:t>
            </w:r>
          </w:p>
        </w:tc>
        <w:tc>
          <w:tcPr>
            <w:tcW w:type="dxa" w:w="3969"/>
          </w:tcPr>
          <w:p>
            <w:r/>
            <w:r>
              <w:rPr>
                <w:b w:val="0"/>
              </w:rPr>
              <w:t>1791941502874-22</w:t>
            </w:r>
          </w:p>
        </w:tc>
        <w:tc>
          <w:tcPr>
            <w:tcW w:type="dxa" w:w="1020"/>
          </w:tcPr>
          <w:p>
            <w:r/>
            <w:r>
              <w:rPr>
                <w:b w:val="0"/>
              </w:rPr>
              <w:t>D3.3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32</w:t>
            </w:r>
          </w:p>
        </w:tc>
        <w:tc>
          <w:tcPr>
            <w:tcW w:type="dxa" w:w="1587"/>
          </w:tcPr>
          <w:p>
            <w:r/>
            <w:r>
              <w:rPr>
                <w:b w:val="0"/>
              </w:rPr>
              <w:t>第三批</w:t>
            </w:r>
          </w:p>
        </w:tc>
        <w:tc>
          <w:tcPr>
            <w:tcW w:type="dxa" w:w="3969"/>
          </w:tcPr>
          <w:p>
            <w:r/>
            <w:r>
              <w:rPr>
                <w:b w:val="0"/>
              </w:rPr>
              <w:t>1791941470913-18</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33</w:t>
            </w:r>
          </w:p>
        </w:tc>
        <w:tc>
          <w:tcPr>
            <w:tcW w:type="dxa" w:w="1587"/>
          </w:tcPr>
          <w:p>
            <w:r/>
            <w:r>
              <w:rPr>
                <w:b w:val="0"/>
              </w:rPr>
              <w:t>第三批</w:t>
            </w:r>
          </w:p>
        </w:tc>
        <w:tc>
          <w:tcPr>
            <w:tcW w:type="dxa" w:w="3969"/>
          </w:tcPr>
          <w:p>
            <w:r/>
            <w:r>
              <w:rPr>
                <w:b w:val="0"/>
              </w:rPr>
              <w:t>1791941453475-14</w:t>
            </w:r>
          </w:p>
        </w:tc>
        <w:tc>
          <w:tcPr>
            <w:tcW w:type="dxa" w:w="1020"/>
          </w:tcPr>
          <w:p>
            <w:r/>
            <w:r>
              <w:rPr>
                <w:b w:val="0"/>
              </w:rPr>
              <w:t>D3.5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34</w:t>
            </w:r>
          </w:p>
        </w:tc>
        <w:tc>
          <w:tcPr>
            <w:tcW w:type="dxa" w:w="1587"/>
          </w:tcPr>
          <w:p>
            <w:r/>
            <w:r>
              <w:rPr>
                <w:b w:val="0"/>
              </w:rPr>
              <w:t>第三批</w:t>
            </w:r>
          </w:p>
        </w:tc>
        <w:tc>
          <w:tcPr>
            <w:tcW w:type="dxa" w:w="3969"/>
          </w:tcPr>
          <w:p>
            <w:r/>
            <w:r>
              <w:rPr>
                <w:b w:val="0"/>
              </w:rPr>
              <w:t>1791941407823-3</w:t>
            </w:r>
          </w:p>
        </w:tc>
        <w:tc>
          <w:tcPr>
            <w:tcW w:type="dxa" w:w="1020"/>
          </w:tcPr>
          <w:p>
            <w:r/>
            <w:r>
              <w:rPr>
                <w:b w:val="0"/>
              </w:rPr>
              <w:t>D3.6</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35</w:t>
            </w:r>
          </w:p>
        </w:tc>
        <w:tc>
          <w:tcPr>
            <w:tcW w:type="dxa" w:w="1587"/>
          </w:tcPr>
          <w:p>
            <w:r/>
            <w:r>
              <w:rPr>
                <w:b w:val="0"/>
              </w:rPr>
              <w:t>第三批</w:t>
            </w:r>
          </w:p>
        </w:tc>
        <w:tc>
          <w:tcPr>
            <w:tcW w:type="dxa" w:w="3969"/>
          </w:tcPr>
          <w:p>
            <w:r/>
            <w:r>
              <w:rPr>
                <w:b w:val="0"/>
              </w:rPr>
              <w:t>1791941527214-27</w:t>
            </w:r>
          </w:p>
        </w:tc>
        <w:tc>
          <w:tcPr>
            <w:tcW w:type="dxa" w:w="1020"/>
          </w:tcPr>
          <w:p>
            <w:r/>
            <w:r>
              <w:rPr>
                <w:b w:val="0"/>
              </w:rPr>
              <w:t>D1.8</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36</w:t>
            </w:r>
          </w:p>
        </w:tc>
        <w:tc>
          <w:tcPr>
            <w:tcW w:type="dxa" w:w="1587"/>
          </w:tcPr>
          <w:p>
            <w:r/>
            <w:r>
              <w:rPr>
                <w:b w:val="0"/>
              </w:rPr>
              <w:t>第四批</w:t>
            </w:r>
          </w:p>
        </w:tc>
        <w:tc>
          <w:tcPr>
            <w:tcW w:type="dxa" w:w="3969"/>
          </w:tcPr>
          <w:p>
            <w:r/>
            <w:r>
              <w:rPr>
                <w:b w:val="0"/>
              </w:rPr>
              <w:t>1791943131382-17-7wx7z</w:t>
            </w:r>
          </w:p>
        </w:tc>
        <w:tc>
          <w:tcPr>
            <w:tcW w:type="dxa" w:w="1020"/>
          </w:tcPr>
          <w:p>
            <w:r/>
            <w:r>
              <w:rPr>
                <w:b w:val="0"/>
              </w:rPr>
              <w:t>D1.8</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37</w:t>
            </w:r>
          </w:p>
        </w:tc>
        <w:tc>
          <w:tcPr>
            <w:tcW w:type="dxa" w:w="1587"/>
          </w:tcPr>
          <w:p>
            <w:r/>
            <w:r>
              <w:rPr>
                <w:b w:val="0"/>
              </w:rPr>
              <w:t>第四批</w:t>
            </w:r>
          </w:p>
        </w:tc>
        <w:tc>
          <w:tcPr>
            <w:tcW w:type="dxa" w:w="3969"/>
          </w:tcPr>
          <w:p>
            <w:r/>
            <w:r>
              <w:rPr>
                <w:b w:val="0"/>
              </w:rPr>
              <w:t>1791943089288-7-qyc29</w:t>
            </w:r>
          </w:p>
        </w:tc>
        <w:tc>
          <w:tcPr>
            <w:tcW w:type="dxa" w:w="1020"/>
          </w:tcPr>
          <w:p>
            <w:r/>
            <w:r>
              <w:rPr>
                <w:b w:val="0"/>
              </w:rPr>
              <w:t>D2.3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38</w:t>
            </w:r>
          </w:p>
        </w:tc>
        <w:tc>
          <w:tcPr>
            <w:tcW w:type="dxa" w:w="1587"/>
          </w:tcPr>
          <w:p>
            <w:r/>
            <w:r>
              <w:rPr>
                <w:b w:val="0"/>
              </w:rPr>
              <w:t>第四批</w:t>
            </w:r>
          </w:p>
        </w:tc>
        <w:tc>
          <w:tcPr>
            <w:tcW w:type="dxa" w:w="3969"/>
          </w:tcPr>
          <w:p>
            <w:r/>
            <w:r>
              <w:rPr>
                <w:b w:val="0"/>
              </w:rPr>
              <w:t>1791942405270-13</w:t>
            </w:r>
          </w:p>
        </w:tc>
        <w:tc>
          <w:tcPr>
            <w:tcW w:type="dxa" w:w="1020"/>
          </w:tcPr>
          <w:p>
            <w:r/>
            <w:r>
              <w:rPr>
                <w:b w:val="0"/>
              </w:rPr>
              <w:t>D2.4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39</w:t>
            </w:r>
          </w:p>
        </w:tc>
        <w:tc>
          <w:tcPr>
            <w:tcW w:type="dxa" w:w="1587"/>
          </w:tcPr>
          <w:p>
            <w:r/>
            <w:r>
              <w:rPr>
                <w:b w:val="0"/>
              </w:rPr>
              <w:t>第四批</w:t>
            </w:r>
          </w:p>
        </w:tc>
        <w:tc>
          <w:tcPr>
            <w:tcW w:type="dxa" w:w="3969"/>
          </w:tcPr>
          <w:p>
            <w:r/>
            <w:r>
              <w:rPr>
                <w:b w:val="0"/>
              </w:rPr>
              <w:t>1791942450897-22</w:t>
            </w:r>
          </w:p>
        </w:tc>
        <w:tc>
          <w:tcPr>
            <w:tcW w:type="dxa" w:w="1020"/>
          </w:tcPr>
          <w:p>
            <w:r/>
            <w:r>
              <w:rPr>
                <w:b w:val="0"/>
              </w:rPr>
              <w:t>D3.3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40</w:t>
            </w:r>
          </w:p>
        </w:tc>
        <w:tc>
          <w:tcPr>
            <w:tcW w:type="dxa" w:w="1587"/>
          </w:tcPr>
          <w:p>
            <w:r/>
            <w:r>
              <w:rPr>
                <w:b w:val="0"/>
              </w:rPr>
              <w:t>第四批</w:t>
            </w:r>
          </w:p>
        </w:tc>
        <w:tc>
          <w:tcPr>
            <w:tcW w:type="dxa" w:w="3969"/>
          </w:tcPr>
          <w:p>
            <w:r/>
            <w:r>
              <w:rPr>
                <w:b w:val="0"/>
              </w:rPr>
              <w:t>1791942429985-18</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41</w:t>
            </w:r>
          </w:p>
        </w:tc>
        <w:tc>
          <w:tcPr>
            <w:tcW w:type="dxa" w:w="1587"/>
          </w:tcPr>
          <w:p>
            <w:r/>
            <w:r>
              <w:rPr>
                <w:b w:val="0"/>
              </w:rPr>
              <w:t>第四批</w:t>
            </w:r>
          </w:p>
        </w:tc>
        <w:tc>
          <w:tcPr>
            <w:tcW w:type="dxa" w:w="3969"/>
          </w:tcPr>
          <w:p>
            <w:r/>
            <w:r>
              <w:rPr>
                <w:b w:val="0"/>
              </w:rPr>
              <w:t>1791941180316-32</w:t>
            </w:r>
          </w:p>
        </w:tc>
        <w:tc>
          <w:tcPr>
            <w:tcW w:type="dxa" w:w="1020"/>
          </w:tcPr>
          <w:p>
            <w:r/>
            <w:r>
              <w:rPr>
                <w:b w:val="0"/>
              </w:rPr>
              <w:t>D1.3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42</w:t>
            </w:r>
          </w:p>
        </w:tc>
        <w:tc>
          <w:tcPr>
            <w:tcW w:type="dxa" w:w="1587"/>
          </w:tcPr>
          <w:p>
            <w:r/>
            <w:r>
              <w:rPr>
                <w:b w:val="0"/>
              </w:rPr>
              <w:t>第四批</w:t>
            </w:r>
          </w:p>
        </w:tc>
        <w:tc>
          <w:tcPr>
            <w:tcW w:type="dxa" w:w="3969"/>
          </w:tcPr>
          <w:p>
            <w:r/>
            <w:r>
              <w:rPr>
                <w:b w:val="0"/>
              </w:rPr>
              <w:t>1791943163595-28-3f1lb</w:t>
            </w:r>
          </w:p>
        </w:tc>
        <w:tc>
          <w:tcPr>
            <w:tcW w:type="dxa" w:w="1020"/>
          </w:tcPr>
          <w:p>
            <w:r/>
            <w:r>
              <w:rPr>
                <w:b w:val="0"/>
              </w:rPr>
              <w:t>D2.4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43</w:t>
            </w:r>
          </w:p>
        </w:tc>
        <w:tc>
          <w:tcPr>
            <w:tcW w:type="dxa" w:w="1587"/>
          </w:tcPr>
          <w:p>
            <w:r/>
            <w:r>
              <w:rPr>
                <w:b w:val="0"/>
              </w:rPr>
              <w:t>第四批</w:t>
            </w:r>
          </w:p>
        </w:tc>
        <w:tc>
          <w:tcPr>
            <w:tcW w:type="dxa" w:w="3969"/>
          </w:tcPr>
          <w:p>
            <w:r/>
            <w:r>
              <w:rPr>
                <w:b w:val="0"/>
              </w:rPr>
              <w:t>1791943315649-58-7qd1l</w:t>
            </w:r>
          </w:p>
        </w:tc>
        <w:tc>
          <w:tcPr>
            <w:tcW w:type="dxa" w:w="1020"/>
          </w:tcPr>
          <w:p>
            <w:r/>
            <w:r>
              <w:rPr>
                <w:b w:val="0"/>
              </w:rPr>
              <w:t>D3.6</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44</w:t>
            </w:r>
          </w:p>
        </w:tc>
        <w:tc>
          <w:tcPr>
            <w:tcW w:type="dxa" w:w="1587"/>
          </w:tcPr>
          <w:p>
            <w:r/>
            <w:r>
              <w:rPr>
                <w:b w:val="0"/>
              </w:rPr>
              <w:t>第四批</w:t>
            </w:r>
          </w:p>
        </w:tc>
        <w:tc>
          <w:tcPr>
            <w:tcW w:type="dxa" w:w="3969"/>
          </w:tcPr>
          <w:p>
            <w:r/>
            <w:r>
              <w:rPr>
                <w:b w:val="0"/>
              </w:rPr>
              <w:t>1791943198675-33-0tu1t</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45</w:t>
            </w:r>
          </w:p>
        </w:tc>
        <w:tc>
          <w:tcPr>
            <w:tcW w:type="dxa" w:w="1587"/>
          </w:tcPr>
          <w:p>
            <w:r/>
            <w:r>
              <w:rPr>
                <w:b w:val="0"/>
              </w:rPr>
              <w:t>第四批</w:t>
            </w:r>
          </w:p>
        </w:tc>
        <w:tc>
          <w:tcPr>
            <w:tcW w:type="dxa" w:w="3969"/>
          </w:tcPr>
          <w:p>
            <w:r/>
            <w:r>
              <w:rPr>
                <w:b w:val="0"/>
              </w:rPr>
              <w:t>1791941505157-23</w:t>
            </w:r>
          </w:p>
        </w:tc>
        <w:tc>
          <w:tcPr>
            <w:tcW w:type="dxa" w:w="1020"/>
          </w:tcPr>
          <w:p>
            <w:r/>
            <w:r>
              <w:rPr>
                <w:b w:val="0"/>
              </w:rPr>
              <w:t>D3.6</w:t>
            </w:r>
          </w:p>
        </w:tc>
        <w:tc>
          <w:tcPr>
            <w:tcW w:type="dxa" w:w="1247"/>
          </w:tcPr>
          <w:p>
            <w:r/>
            <w:r>
              <w:rPr>
                <w:b w:val="0"/>
              </w:rPr>
              <w:t>PRIMARY</w:t>
            </w:r>
          </w:p>
        </w:tc>
        <w:tc>
          <w:tcPr>
            <w:tcW w:type="dxa" w:w="1247"/>
          </w:tcPr>
          <w:p>
            <w:r/>
            <w:r>
              <w:rPr>
                <w:b w:val="0"/>
              </w:rPr>
              <w:t>3</w:t>
            </w:r>
          </w:p>
        </w:tc>
        <w:tc>
          <w:tcPr>
            <w:tcW w:type="dxa" w:w="3969"/>
          </w:tcPr>
          <w:p>
            <w:r/>
            <w:r>
              <w:rPr>
                <w:b w:val="0"/>
              </w:rPr>
            </w:r>
          </w:p>
        </w:tc>
      </w:tr>
    </w:tbl>
    <w:p>
      <w:r>
        <w:br w:type="page"/>
      </w:r>
    </w:p>
    <w:p>
      <w:pPr>
        <w:pStyle w:val="Heading1"/>
      </w:pPr>
      <w:r>
        <w:t>1. 第一批（试点） · BEST · D1.1 AI Governance Structure &amp; Board Oversight</w:t>
      </w:r>
    </w:p>
    <w:p>
      <w:pPr>
        <w:spacing w:after="60"/>
      </w:pPr>
      <w:r>
        <w:rPr>
          <w:b w:val="0"/>
          <w:i w:val="0"/>
          <w:color w:val="5A5A5A"/>
          <w:sz w:val="17"/>
        </w:rPr>
        <w:t>ID：aaig-pipe-1791941016903-0　难度：Intermediate</w:t>
      </w:r>
    </w:p>
    <w:p>
      <w:pPr>
        <w:spacing w:after="60"/>
      </w:pPr>
      <w:r>
        <w:rPr>
          <w:b w:val="0"/>
          <w:i w:val="0"/>
        </w:rPr>
        <w:t>情境：A multinational financial services firm intends to scale multiple generative AI applications across customer-facing operations. The board of directors seeks to establish robust oversight to ensure enterprise alignment with regulatory obligations and strategic risk tolerance.</w:t>
      </w:r>
    </w:p>
    <w:p>
      <w:pPr>
        <w:spacing w:after="60"/>
      </w:pPr>
      <w:r>
        <w:rPr>
          <w:b/>
          <w:i w:val="0"/>
        </w:rPr>
        <w:t>问题：Which of the following is the BEST governance action for the board to establish effective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business units to conduct conformity assessments and technical risk evaluations for individual generative AI use cases.</w:t>
            </w:r>
          </w:p>
        </w:tc>
        <w:tc>
          <w:tcPr>
            <w:tcW w:type="dxa" w:w="5669"/>
          </w:tcPr>
          <w:p>
            <w:r/>
            <w:r>
              <w:rPr>
                <w:b w:val="0"/>
              </w:rPr>
              <w:t>Direct business units to conduct conformity assessments and technical risk evaluations for individual generative AI use cases.</w:t>
            </w:r>
          </w:p>
        </w:tc>
        <w:tc>
          <w:tcPr>
            <w:tcW w:type="dxa" w:w="1361"/>
          </w:tcPr>
          <w:p>
            <w:r/>
            <w:r>
              <w:rPr>
                <w:b w:val="0"/>
                <w:color w:val="787878"/>
              </w:rPr>
              <w:t>未改</w:t>
            </w:r>
          </w:p>
        </w:tc>
      </w:tr>
      <w:tr>
        <w:tc>
          <w:tcPr>
            <w:tcW w:type="dxa" w:w="907"/>
          </w:tcPr>
          <w:p>
            <w:r/>
            <w:r>
              <w:rPr>
                <w:b/>
              </w:rPr>
              <w:t>B</w:t>
            </w:r>
          </w:p>
        </w:tc>
        <w:tc>
          <w:tcPr>
            <w:tcW w:type="dxa" w:w="5669"/>
          </w:tcPr>
          <w:p>
            <w:r/>
            <w:r>
              <w:rPr>
                <w:b w:val="0"/>
              </w:rPr>
              <w:t>Mandate the deployment of automated algorithmic monitoring tools across all planned model endpoints to detect bias and performance drift.</w:t>
            </w:r>
          </w:p>
        </w:tc>
        <w:tc>
          <w:tcPr>
            <w:tcW w:type="dxa" w:w="5669"/>
            <w:shd w:val="clear" w:color="auto" w:fill="FFF2CC"/>
          </w:tcPr>
          <w:p>
            <w:r/>
            <w:r>
              <w:rPr>
                <w:b/>
              </w:rPr>
              <w:t>Commission an external review of the firm's AI regulatory obligations and report the findings to the board before choosing a governance structure.</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an enterprise AI governance charter defining executive accountability, decision rights, and risk appetite thresholds.</w:t>
            </w:r>
          </w:p>
        </w:tc>
        <w:tc>
          <w:tcPr>
            <w:tcW w:type="dxa" w:w="5669"/>
            <w:shd w:val="clear" w:color="auto" w:fill="FFF2CC"/>
          </w:tcPr>
          <w:p>
            <w:r/>
            <w:r>
              <w:rPr>
                <w:b/>
              </w:rPr>
              <w:t>Set up a board-approved AI committee with named executive responsibility, authority to decide, and agreed risk limits.</w:t>
            </w:r>
          </w:p>
        </w:tc>
        <w:tc>
          <w:tcPr>
            <w:tcW w:type="dxa" w:w="1361"/>
          </w:tcPr>
          <w:p>
            <w:r/>
            <w:r>
              <w:rPr>
                <w:b w:val="0"/>
                <w:color w:val="BE5000"/>
              </w:rPr>
              <w:t>✱ 已改</w:t>
            </w:r>
          </w:p>
        </w:tc>
      </w:tr>
      <w:tr>
        <w:tc>
          <w:tcPr>
            <w:tcW w:type="dxa" w:w="907"/>
          </w:tcPr>
          <w:p>
            <w:r/>
            <w:r>
              <w:rPr>
                <w:b/>
              </w:rPr>
              <w:t>D</w:t>
            </w:r>
          </w:p>
        </w:tc>
        <w:tc>
          <w:tcPr>
            <w:tcW w:type="dxa" w:w="5669"/>
          </w:tcPr>
          <w:p>
            <w:r/>
            <w:r>
              <w:rPr>
                <w:b w:val="0"/>
              </w:rPr>
              <w:t>Delegate the design, approval, and operational enforcement of the enterprise AI risk management controls to the internal audit team.</w:t>
            </w:r>
          </w:p>
        </w:tc>
        <w:tc>
          <w:tcPr>
            <w:tcW w:type="dxa" w:w="5669"/>
            <w:shd w:val="clear" w:color="auto" w:fill="FFF2CC"/>
          </w:tcPr>
          <w:p>
            <w:r/>
            <w:r>
              <w:rPr>
                <w:b/>
              </w:rPr>
              <w:t>Approve an AI ethics policy and publish it to customers and employees as the main governance instrument of board oversight.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and per ISO/IEC 42001 Clause 5 and NIST AI RMF (GOVERN 1.1, 1.2), governance begins with top-down leadership and oversight. Establishing a formalized governance charter that sets accountability, explicit decision rights, and alignment with organizational risk appetite is the foundational and most comprehensive governance action the board can take.</w:t>
      </w:r>
    </w:p>
    <w:p>
      <w:pPr>
        <w:spacing w:after="60"/>
      </w:pPr>
      <w:r>
        <w:rPr>
          <w:b/>
          <w:i w:val="0"/>
          <w:sz w:val="18"/>
        </w:rPr>
        <w:t>改写后的错误选项解析与错误类型：</w:t>
      </w:r>
    </w:p>
    <w:p>
      <w:pPr>
        <w:spacing w:after="60"/>
      </w:pPr>
      <w:r>
        <w:rPr>
          <w:b w:val="0"/>
          <w:i w:val="0"/>
          <w:sz w:val="18"/>
        </w:rPr>
        <w:t xml:space="preserve">  A（未改）Option A represents an operational, bottom-up risk assessment task (wrong sequence) that cannot be properly evaluated without an overarching board-approved policy, charter, and risk appetite baseline.　【类型：Operational assessment before the governing mandate】</w:t>
      </w:r>
    </w:p>
    <w:p>
      <w:pPr>
        <w:spacing w:after="60"/>
      </w:pPr>
      <w:r>
        <w:rPr>
          <w:b w:val="0"/>
          <w:i w:val="0"/>
          <w:sz w:val="18"/>
        </w:rPr>
        <w:t xml:space="preserve">  B（已改）B: Understanding obligations is useful input, but board oversight needs a structure with decision rights. The review can be a task of that structure rather than a precondition for it.　【类型：Sound preparatory analysis that postpones the structural decision】</w:t>
      </w:r>
    </w:p>
    <w:p>
      <w:pPr>
        <w:spacing w:after="60"/>
      </w:pPr>
      <w:r>
        <w:rPr>
          <w:b w:val="0"/>
          <w:i w:val="0"/>
          <w:sz w:val="18"/>
        </w:rPr>
        <w:t xml:space="preserve">  D（已改）D: A statement sets intent, but without decision rights, accountability and risk thresholds it gives the board nothing to oversee against.　【类型：Statement of intent mistaken for an oversight mechanism】</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 第一批（试点） · BEST · D2.1 Data Governance &amp; Data Quality for AI</w:t>
      </w:r>
    </w:p>
    <w:p>
      <w:pPr>
        <w:spacing w:after="60"/>
      </w:pPr>
      <w:r>
        <w:rPr>
          <w:b w:val="0"/>
          <w:i w:val="0"/>
          <w:color w:val="5A5A5A"/>
          <w:sz w:val="17"/>
        </w:rPr>
        <w:t>ID：aaig-pipe-1791941523762-25　难度：Director-Level</w:t>
      </w:r>
    </w:p>
    <w:p>
      <w:pPr>
        <w:spacing w:after="60"/>
      </w:pPr>
      <w:r>
        <w:rPr>
          <w:b w:val="0"/>
          <w:i w:val="0"/>
        </w:rPr>
        <w:t>情境：A multinational financial services enterprise is expanding its deployment of high-risk machine learning and large language models for automated credit decisioning across multiple regulatory jurisdictions. Internal assessments reveal significant discrepancies in data provenance, undocumented pipeline transformations, and inconsistent training data quality controls across business units. The Chief Data Officer, working alongside the AI Steering Committee, must establish sustainable governance over the AI data architecture to satisfy regulatory requirements and enterprise risk tolerances.</w:t>
      </w:r>
    </w:p>
    <w:p>
      <w:pPr>
        <w:spacing w:after="60"/>
      </w:pPr>
      <w:r>
        <w:rPr>
          <w:b/>
          <w:i w:val="0"/>
        </w:rPr>
        <w:t>问题：Which of the following represents the BEST governance action to ensure training and fine-tuning data quality across the AI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Implement automated synthetic data augmentation and automated feature-store vector databases to eliminate systemic bias and optimize inference latency across training clusters.</w:t>
            </w:r>
          </w:p>
        </w:tc>
        <w:tc>
          <w:tcPr>
            <w:tcW w:type="dxa" w:w="5669"/>
            <w:shd w:val="clear" w:color="auto" w:fill="FFF2CC"/>
          </w:tcPr>
          <w:p>
            <w:r/>
            <w:r>
              <w:rPr>
                <w:b/>
              </w:rPr>
              <w:t>Require each business unit to document training data sources and known quality issues in a shared governance register that is reviewed annually.</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AI data governance framework defining data provenance, quality thresholds, and lineage verification aligned with enterprise risk appetite.</w:t>
            </w:r>
          </w:p>
        </w:tc>
        <w:tc>
          <w:tcPr>
            <w:tcW w:type="dxa" w:w="5669"/>
            <w:shd w:val="clear" w:color="auto" w:fill="FFF2CC"/>
          </w:tcPr>
          <w:p>
            <w:r/>
            <w:r>
              <w:rPr>
                <w:b/>
              </w:rPr>
              <w:t>Set enterprise-wide data governance rules for origin, quality limits and lineage checks, tied to the firm's risk limits.</w:t>
            </w:r>
          </w:p>
        </w:tc>
        <w:tc>
          <w:tcPr>
            <w:tcW w:type="dxa" w:w="1361"/>
          </w:tcPr>
          <w:p>
            <w:r/>
            <w:r>
              <w:rPr>
                <w:b w:val="0"/>
                <w:color w:val="BE5000"/>
              </w:rPr>
              <w:t>✱ 已改</w:t>
            </w:r>
          </w:p>
        </w:tc>
      </w:tr>
      <w:tr>
        <w:tc>
          <w:tcPr>
            <w:tcW w:type="dxa" w:w="907"/>
          </w:tcPr>
          <w:p>
            <w:r/>
            <w:r>
              <w:rPr>
                <w:b/>
              </w:rPr>
              <w:t>C</w:t>
            </w:r>
          </w:p>
        </w:tc>
        <w:tc>
          <w:tcPr>
            <w:tcW w:type="dxa" w:w="5669"/>
          </w:tcPr>
          <w:p>
            <w:r/>
            <w:r>
              <w:rPr>
                <w:b w:val="0"/>
              </w:rPr>
              <w:t>Deploy continuous data drift monitoring agents and bias validation scripts in runtime production environments prior to defining data classification standards.</w:t>
            </w:r>
          </w:p>
        </w:tc>
        <w:tc>
          <w:tcPr>
            <w:tcW w:type="dxa" w:w="5669"/>
          </w:tcPr>
          <w:p>
            <w:r/>
            <w:r>
              <w:rPr>
                <w:b w:val="0"/>
              </w:rPr>
              <w:t>Deploy continuous data drift monitoring agents and bias validation scripts in runtime production environments prior to defining data classification standards.</w:t>
            </w:r>
          </w:p>
        </w:tc>
        <w:tc>
          <w:tcPr>
            <w:tcW w:type="dxa" w:w="1361"/>
          </w:tcPr>
          <w:p>
            <w:r/>
            <w:r>
              <w:rPr>
                <w:b w:val="0"/>
                <w:color w:val="787878"/>
              </w:rPr>
              <w:t>未改</w:t>
            </w:r>
          </w:p>
        </w:tc>
      </w:tr>
      <w:tr>
        <w:tc>
          <w:tcPr>
            <w:tcW w:type="dxa" w:w="907"/>
          </w:tcPr>
          <w:p>
            <w:r/>
            <w:r>
              <w:rPr>
                <w:b/>
              </w:rPr>
              <w:t>D</w:t>
            </w:r>
          </w:p>
        </w:tc>
        <w:tc>
          <w:tcPr>
            <w:tcW w:type="dxa" w:w="5669"/>
          </w:tcPr>
          <w:p>
            <w:r/>
            <w:r>
              <w:rPr>
                <w:b w:val="0"/>
              </w:rPr>
              <w:t>Direct the internal audit team to independently define and enforce operational data quality metrics and acceptance criteria for training datasets.</w:t>
            </w:r>
          </w:p>
        </w:tc>
        <w:tc>
          <w:tcPr>
            <w:tcW w:type="dxa" w:w="5669"/>
            <w:shd w:val="clear" w:color="auto" w:fill="FFF2CC"/>
          </w:tcPr>
          <w:p>
            <w:r/>
            <w:r>
              <w:rPr>
                <w:b/>
              </w:rPr>
              <w:t>Appoint a data quality owner in each business unit to agree local acceptance criteria for the datasets that its own models use.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主解析（未改动）：Establishing an overarching AI data governance framework that formalizes data provenance, quality criteria, and lineage tracking tied directly to business risk appetite constitutes the BEST governance response. Under ISO/IEC 42001 (Clause 8.2, Annex A.6) and NIST AI RMF GOVERN 1.2, foundational policies, data accountability, and risk-aligned quality gates must govern the data lifecycle from acquisition through retirement before relying solely on operational or tactical tooling.</w:t>
      </w:r>
    </w:p>
    <w:p>
      <w:pPr>
        <w:spacing w:after="60"/>
      </w:pPr>
      <w:r>
        <w:rPr>
          <w:b/>
          <w:i w:val="0"/>
          <w:sz w:val="18"/>
        </w:rPr>
        <w:t>改写后的错误选项解析与错误类型：</w:t>
      </w:r>
    </w:p>
    <w:p>
      <w:pPr>
        <w:spacing w:after="60"/>
      </w:pPr>
      <w:r>
        <w:rPr>
          <w:b w:val="0"/>
          <w:i w:val="0"/>
          <w:sz w:val="18"/>
        </w:rPr>
        <w:t xml:space="preserve">  A（已改）A: Documentation improves visibility, but without common quality thresholds, owners and lineage checks the register records the inconsistency rather than governing it.　【类型：Documentation without enforceable standards】</w:t>
      </w:r>
    </w:p>
    <w:p>
      <w:pPr>
        <w:spacing w:after="60"/>
      </w:pPr>
      <w:r>
        <w:rPr>
          <w:b w:val="0"/>
          <w:i w:val="0"/>
          <w:sz w:val="18"/>
        </w:rPr>
        <w:t xml:space="preserve">  C（未改）Option C is incorrect due to wrong sequence; deploying runtime drift monitoring agents prior to establishing data classification standards and quality baselines represents an inverted sequence that monitors outputs against undefined or inconsistent standards.　【类型：Runtime monitoring before data standards exist】</w:t>
      </w:r>
    </w:p>
    <w:p>
      <w:pPr>
        <w:spacing w:after="60"/>
      </w:pPr>
      <w:r>
        <w:rPr>
          <w:b w:val="0"/>
          <w:i w:val="0"/>
          <w:sz w:val="18"/>
        </w:rPr>
        <w:t xml:space="preserve">  D（已改）D: Local criteria reproduce the inconsistency across units. Enterprise thresholds tied to risk appetite are needed before units adapt them.　【类型：Local standards in place of enterprise standards】</w:t>
      </w:r>
    </w:p>
    <w:p>
      <w:pPr>
        <w:spacing w:after="60"/>
      </w:pPr>
      <w:r>
        <w:rPr>
          <w:b w:val="0"/>
          <w:i w:val="0"/>
          <w:color w:val="5A5A5A"/>
          <w:sz w:val="17"/>
        </w:rPr>
        <w:t>出处（沿用原文，未核验）：NIST AI RMF 1.0 GOVERN 1.2, MAP 2.3 &amp; MEASURE 2.7; EU AI Act Art. 10 (for high-risk systems); ISO/IEC 42001:2023 (verify exact data governance clauses/annexes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 第一批（试点） · BEST · D3.1 Buy vs. Build &amp; Third-Party Sourcing Decisions</w:t>
      </w:r>
    </w:p>
    <w:p>
      <w:pPr>
        <w:spacing w:after="60"/>
      </w:pPr>
      <w:r>
        <w:rPr>
          <w:b w:val="0"/>
          <w:i w:val="0"/>
          <w:color w:val="5A5A5A"/>
          <w:sz w:val="17"/>
        </w:rPr>
        <w:t>ID：aaig-pipe-1791943112438-10-qh1bn　难度：Intermediate</w:t>
      </w:r>
    </w:p>
    <w:p>
      <w:pPr>
        <w:spacing w:after="60"/>
      </w:pPr>
      <w:r>
        <w:rPr>
          <w:b w:val="0"/>
          <w:i w:val="0"/>
        </w:rPr>
        <w:t>情境：A multinational financial institution is deciding whether to license a commercial third-party foundation model or build an in-house bespoke model to automate commercial loan underwriting assessments. The organization must ensure that this buy-versus-build determination properly aligns with enterprise governance, risk tolerance, and compliance obligations prior to capital allocation.</w:t>
      </w:r>
    </w:p>
    <w:p>
      <w:pPr>
        <w:spacing w:after="60"/>
      </w:pPr>
      <w:r>
        <w:rPr>
          <w:b/>
          <w:i w:val="0"/>
        </w:rPr>
        <w:t>问题：Which of the following is the BEST governance action for the AI Steering Committee to take to guide this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Prioritize comprehensive technical benchmarking focused strictly on inference throughput and parameter count over broader regulatory compliance factors.</w:t>
            </w:r>
          </w:p>
        </w:tc>
        <w:tc>
          <w:tcPr>
            <w:tcW w:type="dxa" w:w="5669"/>
            <w:shd w:val="clear" w:color="auto" w:fill="FFF2CC"/>
          </w:tcPr>
          <w:p>
            <w:r/>
            <w:r>
              <w:rPr>
                <w:b/>
              </w:rPr>
              <w:t>Run a structured pilot of the commercial model on non-sensitive data and let the pilot results decide between licensing and building under the sourcing policy.</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Implement a holistic evaluation framework weighing strategic alignment, total cost of ownership, risk appetite, and supply chain transparency.</w:t>
            </w:r>
          </w:p>
        </w:tc>
        <w:tc>
          <w:tcPr>
            <w:tcW w:type="dxa" w:w="5669"/>
            <w:shd w:val="clear" w:color="auto" w:fill="FFF2CC"/>
          </w:tcPr>
          <w:p>
            <w:r/>
            <w:r>
              <w:rPr>
                <w:b/>
              </w:rPr>
              <w:t>Weigh strategic fit, lifetime cost, risk appetite and tolerance, and supply chain transparency in one structured evaluation.</w:t>
            </w:r>
          </w:p>
        </w:tc>
        <w:tc>
          <w:tcPr>
            <w:tcW w:type="dxa" w:w="1361"/>
          </w:tcPr>
          <w:p>
            <w:r/>
            <w:r>
              <w:rPr>
                <w:b w:val="0"/>
                <w:color w:val="BE5000"/>
              </w:rPr>
              <w:t>✱ 已改</w:t>
            </w:r>
          </w:p>
        </w:tc>
      </w:tr>
      <w:tr>
        <w:tc>
          <w:tcPr>
            <w:tcW w:type="dxa" w:w="907"/>
          </w:tcPr>
          <w:p>
            <w:r/>
            <w:r>
              <w:rPr>
                <w:b/>
              </w:rPr>
              <w:t>C</w:t>
            </w:r>
          </w:p>
        </w:tc>
        <w:tc>
          <w:tcPr>
            <w:tcW w:type="dxa" w:w="5669"/>
          </w:tcPr>
          <w:p>
            <w:r/>
            <w:r>
              <w:rPr>
                <w:b w:val="0"/>
              </w:rPr>
              <w:t>Finalize binding third-party service level agreements and contract audit rights prior to defining the institutional use case requirements and AI risk classification.</w:t>
            </w:r>
          </w:p>
        </w:tc>
        <w:tc>
          <w:tcPr>
            <w:tcW w:type="dxa" w:w="5669"/>
          </w:tcPr>
          <w:p>
            <w:r/>
            <w:r>
              <w:rPr>
                <w:b w:val="0"/>
              </w:rPr>
              <w:t>Finalize binding third-party service level agreements and contract audit rights prior to defining the institutional use case requirements and AI risk classification.</w:t>
            </w:r>
          </w:p>
        </w:tc>
        <w:tc>
          <w:tcPr>
            <w:tcW w:type="dxa" w:w="1361"/>
          </w:tcPr>
          <w:p>
            <w:r/>
            <w:r>
              <w:rPr>
                <w:b w:val="0"/>
                <w:color w:val="787878"/>
              </w:rPr>
              <w:t>未改</w:t>
            </w:r>
          </w:p>
        </w:tc>
      </w:tr>
      <w:tr>
        <w:tc>
          <w:tcPr>
            <w:tcW w:type="dxa" w:w="907"/>
          </w:tcPr>
          <w:p>
            <w:r/>
            <w:r>
              <w:rPr>
                <w:b/>
              </w:rPr>
              <w:t>D</w:t>
            </w:r>
          </w:p>
        </w:tc>
        <w:tc>
          <w:tcPr>
            <w:tcW w:type="dxa" w:w="5669"/>
          </w:tcPr>
          <w:p>
            <w:r/>
            <w:r>
              <w:rPr>
                <w:b w:val="0"/>
              </w:rPr>
              <w:t>Delegate the definitive sourcing decision to first-line business units based on their preferred developer interfaces and localized delivery schedules.</w:t>
            </w:r>
          </w:p>
        </w:tc>
        <w:tc>
          <w:tcPr>
            <w:tcW w:type="dxa" w:w="5669"/>
            <w:shd w:val="clear" w:color="auto" w:fill="FFF2CC"/>
          </w:tcPr>
          <w:p>
            <w:r/>
            <w:r>
              <w:rPr>
                <w:b/>
              </w:rPr>
              <w:t>Ask the legal department to choose the option with the strongest contractual indemnities and report its choice to the governance committee.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主解析（未改动）：The BEST governance approach to buy-versus-build decisions involves establishing a structured, multidimensional evaluation framework aligned with top-down strategy. According to ISO/IEC 42001 (Clause 8 and Annex A.8/B.8) and NIST AI RMF (GOVERN 6.1 and MAP 1.5), sourcing decisions must not rely solely on technical performance or cost; they must comprehensively evaluate total cost of ownership (TCO), alignment with enterprise risk appetite, data governance, intellectual property rights, and supply chain transparency (e.g., model provenance and third-party dependencies).</w:t>
      </w:r>
    </w:p>
    <w:p>
      <w:pPr>
        <w:spacing w:after="60"/>
      </w:pPr>
      <w:r>
        <w:rPr>
          <w:b/>
          <w:i w:val="0"/>
          <w:sz w:val="18"/>
        </w:rPr>
        <w:t>改写后的错误选项解析与错误类型：</w:t>
      </w:r>
    </w:p>
    <w:p>
      <w:pPr>
        <w:spacing w:after="60"/>
      </w:pPr>
      <w:r>
        <w:rPr>
          <w:b w:val="0"/>
          <w:i w:val="0"/>
          <w:sz w:val="18"/>
        </w:rPr>
        <w:t xml:space="preserve">  A（已改）A: A pilot yields useful evidence, but only on performance and fit. It does not weigh total cost, risk appetite or supply chain transparency, which the decision also depends on.　【类型：Evidence from one dimension treated as the whole decision】</w:t>
      </w:r>
    </w:p>
    <w:p>
      <w:pPr>
        <w:spacing w:after="60"/>
      </w:pPr>
      <w:r>
        <w:rPr>
          <w:b w:val="0"/>
          <w:i w:val="0"/>
          <w:sz w:val="18"/>
        </w:rPr>
        <w:t xml:space="preserve">  C（未改）Wrong Sequence: Finalizing supplier contractual terms, audit rights, and SLAs is premature before foundational steps—such as clearly establishing the business use case, system requirements, and AI risk categorization—are completed.　【类型：Contract commitments before requirements and classification】</w:t>
      </w:r>
    </w:p>
    <w:p>
      <w:pPr>
        <w:spacing w:after="60"/>
      </w:pPr>
      <w:r>
        <w:rPr>
          <w:b w:val="0"/>
          <w:i w:val="0"/>
          <w:sz w:val="18"/>
        </w:rPr>
        <w:t xml:space="preserve">  D（已改）D: Indemnities matter, but legal protection is one factor. Strategic fit, total cost and risk appetite must also be weighed by the committee.　【类型：Single-function decision on a multi-factor question】</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 第一批（试点） · BEST · D1.1 AI Governance Structure &amp; Board Oversight</w:t>
      </w:r>
    </w:p>
    <w:p>
      <w:pPr>
        <w:spacing w:after="60"/>
      </w:pPr>
      <w:r>
        <w:rPr>
          <w:b w:val="0"/>
          <w:i w:val="0"/>
          <w:color w:val="5A5A5A"/>
          <w:sz w:val="17"/>
        </w:rPr>
        <w:t>ID：aaig-pipe-1791943341335-60-xaq5w　难度：Intermediate</w:t>
      </w:r>
    </w:p>
    <w:p>
      <w:pPr>
        <w:spacing w:after="60"/>
      </w:pPr>
      <w:r>
        <w:rPr>
          <w:b w:val="0"/>
          <w:i w:val="0"/>
        </w:rPr>
        <w:t>情境：A multinational financial institution is expanding its use of predictive and generative AI across multiple operational divisions, but distinct business units have been independently procuring and deploying models without central oversight. The board of directors expresses concern regarding fragmented accountability, regulatory exposure, and misaligned risk thresholds across these implementations.</w:t>
      </w:r>
    </w:p>
    <w:p>
      <w:pPr>
        <w:spacing w:after="60"/>
      </w:pPr>
      <w:r>
        <w:rPr>
          <w:b/>
          <w:i w:val="0"/>
        </w:rPr>
        <w:t>问题：Which action represents the BEST approach for the board and executive leadership to establish enterprise-wide AI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operational teams to complete comprehensive conformity assessments and generate standardized model cards for every active system prior to defining the AI policy framework.</w:t>
            </w:r>
          </w:p>
        </w:tc>
        <w:tc>
          <w:tcPr>
            <w:tcW w:type="dxa" w:w="5669"/>
          </w:tcPr>
          <w:p>
            <w:r/>
            <w:r>
              <w:rPr>
                <w:b w:val="0"/>
              </w:rPr>
              <w:t>Direct operational teams to complete comprehensive conformity assessments and generate standardized model cards for every active system prior to defining the AI policy framework.</w:t>
            </w:r>
          </w:p>
        </w:tc>
        <w:tc>
          <w:tcPr>
            <w:tcW w:type="dxa" w:w="1361"/>
          </w:tcPr>
          <w:p>
            <w:r/>
            <w:r>
              <w:rPr>
                <w:b w:val="0"/>
                <w:color w:val="787878"/>
              </w:rPr>
              <w:t>未改</w:t>
            </w:r>
          </w:p>
        </w:tc>
      </w:tr>
      <w:tr>
        <w:tc>
          <w:tcPr>
            <w:tcW w:type="dxa" w:w="907"/>
          </w:tcPr>
          <w:p>
            <w:r/>
            <w:r>
              <w:rPr>
                <w:b/>
              </w:rPr>
              <w:t>B</w:t>
            </w:r>
          </w:p>
        </w:tc>
        <w:tc>
          <w:tcPr>
            <w:tcW w:type="dxa" w:w="5669"/>
          </w:tcPr>
          <w:p>
            <w:r/>
            <w:r>
              <w:rPr>
                <w:b w:val="0"/>
              </w:rPr>
              <w:t>Mandate the immediate procurement of enterprise-grade automated algorithmic testing platforms to monitor all production AI models for data drift and technical bias.</w:t>
            </w:r>
          </w:p>
        </w:tc>
        <w:tc>
          <w:tcPr>
            <w:tcW w:type="dxa" w:w="5669"/>
            <w:shd w:val="clear" w:color="auto" w:fill="FFF2CC"/>
          </w:tcPr>
          <w:p>
            <w:r/>
            <w:r>
              <w:rPr>
                <w:b/>
              </w:rPr>
              <w:t>Appoint an AI risk officer in each division to report incidents and policy breaches to the board every quarter.</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 cross-functional AI steering committee chartered to define enterprise AI policy, risk appetite, and decision rights aligned with strategic objectives.</w:t>
            </w:r>
          </w:p>
        </w:tc>
        <w:tc>
          <w:tcPr>
            <w:tcW w:type="dxa" w:w="5669"/>
            <w:shd w:val="clear" w:color="auto" w:fill="FFF2CC"/>
          </w:tcPr>
          <w:p>
            <w:r/>
            <w:r>
              <w:rPr>
                <w:b/>
              </w:rPr>
              <w:t>Create a cross-functional AI committee with a mandate to set enterprise AI rules, risk limits and who decides what.</w:t>
            </w:r>
          </w:p>
        </w:tc>
        <w:tc>
          <w:tcPr>
            <w:tcW w:type="dxa" w:w="1361"/>
          </w:tcPr>
          <w:p>
            <w:r/>
            <w:r>
              <w:rPr>
                <w:b w:val="0"/>
                <w:color w:val="BE5000"/>
              </w:rPr>
              <w:t>✱ 已改</w:t>
            </w:r>
          </w:p>
        </w:tc>
      </w:tr>
      <w:tr>
        <w:tc>
          <w:tcPr>
            <w:tcW w:type="dxa" w:w="907"/>
          </w:tcPr>
          <w:p>
            <w:r/>
            <w:r>
              <w:rPr>
                <w:b/>
              </w:rPr>
              <w:t>D</w:t>
            </w:r>
          </w:p>
        </w:tc>
        <w:tc>
          <w:tcPr>
            <w:tcW w:type="dxa" w:w="5669"/>
          </w:tcPr>
          <w:p>
            <w:r/>
            <w:r>
              <w:rPr>
                <w:b w:val="0"/>
              </w:rPr>
              <w:t>Empower business-unit development leads to establish localized operational safety tolerances and authorize their own high-impact AI deployments independently.</w:t>
            </w:r>
          </w:p>
        </w:tc>
        <w:tc>
          <w:tcPr>
            <w:tcW w:type="dxa" w:w="5669"/>
            <w:shd w:val="clear" w:color="auto" w:fill="FFF2CC"/>
          </w:tcPr>
          <w:p>
            <w:r/>
            <w:r>
              <w:rPr>
                <w:b/>
              </w:rPr>
              <w:t>Publish enterprise AI principles and a governance framework, and require each business unit to certify that it follows them.</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主解析（未改动）：Establishing a cross-functional AI steering committee chartered with defining enterprise policy, risk appetite, and decision rights represents the foundational top-down governance action required by frameworks like ISO/IEC 42001 (Clause 5) and NIST AI RMF (GOVERN 1.1 and 1.2). Governance requires formal accountability structures that align AI initiatives with enterprise risk appetite before technical controls or decentralized mechanisms can be effectively maintained.</w:t>
      </w:r>
    </w:p>
    <w:p>
      <w:pPr>
        <w:spacing w:after="60"/>
      </w:pPr>
      <w:r>
        <w:rPr>
          <w:b/>
          <w:i w:val="0"/>
          <w:sz w:val="18"/>
        </w:rPr>
        <w:t>改写后的错误选项解析与错误类型：</w:t>
      </w:r>
    </w:p>
    <w:p>
      <w:pPr>
        <w:spacing w:after="60"/>
      </w:pPr>
      <w:r>
        <w:rPr>
          <w:b w:val="0"/>
          <w:i w:val="0"/>
          <w:sz w:val="18"/>
        </w:rPr>
        <w:t xml:space="preserve">  A（未改）Executing technical conformity assessments and model cards before establishing the overarching policy, taxonomy, and risk tolerance is premature and lacks strategic alignment (wrong sequence/timing).　【类型：Operational assessment before the policy framework】</w:t>
      </w:r>
    </w:p>
    <w:p>
      <w:pPr>
        <w:spacing w:after="60"/>
      </w:pPr>
      <w:r>
        <w:rPr>
          <w:b w:val="0"/>
          <w:i w:val="0"/>
          <w:sz w:val="18"/>
        </w:rPr>
        <w:t xml:space="preserve">  B（已改）B: Divisional reporting adds visibility but cannot resolve fragmented decision rights and thresholds. It reports problems without a body able to set enterprise direction.　【类型：Reporting line added without decision authority】</w:t>
      </w:r>
    </w:p>
    <w:p>
      <w:pPr>
        <w:spacing w:after="60"/>
      </w:pPr>
      <w:r>
        <w:rPr>
          <w:b w:val="0"/>
          <w:i w:val="0"/>
          <w:sz w:val="18"/>
        </w:rPr>
        <w:t xml:space="preserve">  D（已改）D: Principles and certification state expectations, but without a body holding decision rights and risk appetite no one can resolve conflicts or accept exceptions.　【类型：Self-certification against principles without a deciding body】</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5. 第一批（试点） · BEST · D1.1 AI Governance Structure &amp; Board Oversight</w:t>
      </w:r>
    </w:p>
    <w:p>
      <w:pPr>
        <w:spacing w:after="60"/>
      </w:pPr>
      <w:r>
        <w:rPr>
          <w:b w:val="0"/>
          <w:i w:val="0"/>
          <w:color w:val="5A5A5A"/>
          <w:sz w:val="17"/>
        </w:rPr>
        <w:t>ID：aaig-pipe-1791943535745-105-0p7tf　难度：Director-Level</w:t>
      </w:r>
    </w:p>
    <w:p>
      <w:pPr>
        <w:spacing w:after="60"/>
      </w:pPr>
      <w:r>
        <w:rPr>
          <w:b w:val="0"/>
          <w:i w:val="0"/>
        </w:rPr>
        <w:t>情境：A multinational financial services enterprise intends to deploy generative AI applications across several client-facing and credit-decisioning business lines. The Board of Directors has tasked executive management with instituting an overarching AI governance structure to ensure ethical, legal, and operational alignment before organization-wide adoption.</w:t>
      </w:r>
    </w:p>
    <w:p>
      <w:pPr>
        <w:spacing w:after="60"/>
      </w:pPr>
      <w:r>
        <w:rPr>
          <w:b/>
          <w:i w:val="0"/>
        </w:rPr>
        <w:t>问题：Which of the following governance initiatives represents the BEST course of action to establish board-aligned oversight in accordance with ISO/IEC 42001 and the NIST AI RMF GOVERN function?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algorithmic bias detection and explainability toolkits across all software repositories utilized by development teams.</w:t>
            </w:r>
          </w:p>
        </w:tc>
        <w:tc>
          <w:tcPr>
            <w:tcW w:type="dxa" w:w="5669"/>
            <w:shd w:val="clear" w:color="auto" w:fill="FFF2CC"/>
          </w:tcPr>
          <w:p>
            <w:r/>
            <w:r>
              <w:rPr>
                <w:b/>
              </w:rPr>
              <w:t>Commission an external benchmark of how peer institutions structure AI governance and present the findings to the board for discussion.</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AI steering committee under a board-approved charter that defines organizational risk tolerance, clear decision rights, and cross-functional accountability.</w:t>
            </w:r>
          </w:p>
        </w:tc>
        <w:tc>
          <w:tcPr>
            <w:tcW w:type="dxa" w:w="5669"/>
            <w:shd w:val="clear" w:color="auto" w:fill="FFF2CC"/>
          </w:tcPr>
          <w:p>
            <w:r/>
            <w:r>
              <w:rPr>
                <w:b/>
              </w:rPr>
              <w:t>Form a board-approved AI committee that defines the organization's risk tolerance, who decides, and shared responsibility across functions.</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third-party model stress testing and algorithmic impact assessments on current vendor prototypes prior to publishing enterprise AI principles.</w:t>
            </w:r>
          </w:p>
        </w:tc>
        <w:tc>
          <w:tcPr>
            <w:tcW w:type="dxa" w:w="5669"/>
          </w:tcPr>
          <w:p>
            <w:r/>
            <w:r>
              <w:rPr>
                <w:b w:val="0"/>
              </w:rPr>
              <w:t>Conduct comprehensive third-party model stress testing and algorithmic impact assessments on current vendor prototypes prior to publishing enterprise AI principles.</w:t>
            </w:r>
          </w:p>
        </w:tc>
        <w:tc>
          <w:tcPr>
            <w:tcW w:type="dxa" w:w="1361"/>
          </w:tcPr>
          <w:p>
            <w:r/>
            <w:r>
              <w:rPr>
                <w:b w:val="0"/>
                <w:color w:val="787878"/>
              </w:rPr>
              <w:t>未改</w:t>
            </w:r>
          </w:p>
        </w:tc>
      </w:tr>
      <w:tr>
        <w:tc>
          <w:tcPr>
            <w:tcW w:type="dxa" w:w="907"/>
          </w:tcPr>
          <w:p>
            <w:r/>
            <w:r>
              <w:rPr>
                <w:b/>
              </w:rPr>
              <w:t>D</w:t>
            </w:r>
          </w:p>
        </w:tc>
        <w:tc>
          <w:tcPr>
            <w:tcW w:type="dxa" w:w="5669"/>
          </w:tcPr>
          <w:p>
            <w:r/>
            <w:r>
              <w:rPr>
                <w:b w:val="0"/>
              </w:rPr>
              <w:t>Delegate the determination of acceptable risk thresholds and autonomous AI deployment approvals solely to the operational business unit leaders who own the respective use cases.</w:t>
            </w:r>
          </w:p>
        </w:tc>
        <w:tc>
          <w:tcPr>
            <w:tcW w:type="dxa" w:w="5669"/>
            <w:shd w:val="clear" w:color="auto" w:fill="FFF2CC"/>
          </w:tcPr>
          <w:p>
            <w:r/>
            <w:r>
              <w:rPr>
                <w:b/>
              </w:rPr>
              <w:t>Adopt a board resolution requiring each business line to attest annually that its AI use complies with applicable law and policy.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 Leadership) and the NIST AI Risk Management Framework (GOVERN 1.1 &amp; 1.2), effective AI governance requires a top-down mandate where executive leadership and the governing body establish clear decision rights, risk tolerances, and cross-functional structures (such as an AI steering committee with an approved charter). Establishing accountability mechanisms and integrating legal, risk, compliance, and technical domains must precede technical implementations.</w:t>
      </w:r>
    </w:p>
    <w:p>
      <w:pPr>
        <w:spacing w:after="60"/>
      </w:pPr>
      <w:r>
        <w:rPr>
          <w:b/>
          <w:i w:val="0"/>
          <w:sz w:val="18"/>
        </w:rPr>
        <w:t>改写后的错误选项解析与错误类型：</w:t>
      </w:r>
    </w:p>
    <w:p>
      <w:pPr>
        <w:spacing w:after="60"/>
      </w:pPr>
      <w:r>
        <w:rPr>
          <w:b w:val="0"/>
          <w:i w:val="0"/>
          <w:sz w:val="18"/>
        </w:rPr>
        <w:t xml:space="preserve">  A（已改）A: Benchmarking informs design, but it does not create the charter, decision rights or accountability that establish oversight.　【类型：Benchmarking instead of establishing structure】</w:t>
      </w:r>
    </w:p>
    <w:p>
      <w:pPr>
        <w:spacing w:after="60"/>
      </w:pPr>
      <w:r>
        <w:rPr>
          <w:b w:val="0"/>
          <w:i w:val="0"/>
          <w:sz w:val="18"/>
        </w:rPr>
        <w:t xml:space="preserve">  C（未改）Option C is incorrect because it reflects the wrong sequence/timing; performing operational assessments and stress tests before establishing the organizational AI charter and risk appetite leads to inconsistent evaluations without enterprise-wide reference baselines.　【类型：Operational testing before enterprise principles】</w:t>
      </w:r>
    </w:p>
    <w:p>
      <w:pPr>
        <w:spacing w:after="60"/>
      </w:pPr>
      <w:r>
        <w:rPr>
          <w:b w:val="0"/>
          <w:i w:val="0"/>
          <w:sz w:val="18"/>
        </w:rPr>
        <w:t xml:space="preserve">  D（已改）D: Attestation is a useful assurance input, but it does not establish who decides risk thresholds or how accountability is shared across functions.　【类型：Attestation mistaken for governance structure】</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6. 第一批（试点） · BEST · D1.1 AI Governance Structure &amp; Board Oversight</w:t>
      </w:r>
    </w:p>
    <w:p>
      <w:pPr>
        <w:spacing w:after="60"/>
      </w:pPr>
      <w:r>
        <w:rPr>
          <w:b w:val="0"/>
          <w:i w:val="0"/>
          <w:color w:val="5A5A5A"/>
          <w:sz w:val="17"/>
        </w:rPr>
        <w:t>ID：aaig-pipe-1791943718126-145-870vw　难度：Director-Level</w:t>
      </w:r>
    </w:p>
    <w:p>
      <w:pPr>
        <w:spacing w:after="60"/>
      </w:pPr>
      <w:r>
        <w:rPr>
          <w:b w:val="0"/>
          <w:i w:val="0"/>
        </w:rPr>
        <w:t>情境：A multinational financial services enterprise is transitioning from decentralized generative AI experimentation to enterprise-wide production deployment. The Board of Directors has tasked executive leadership with establishing formal governance to ensure that all current and planned AI deployments remain aligned with corporate strategy, ethical standards, and regulatory expectations.</w:t>
      </w:r>
    </w:p>
    <w:p>
      <w:pPr>
        <w:spacing w:after="60"/>
      </w:pPr>
      <w:r>
        <w:rPr>
          <w:b/>
          <w:i w:val="0"/>
        </w:rPr>
        <w:t>问题：Which of the following represents the BEST course of action to establish board oversight and institutionalize AI enterprise governance?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model telemetry and drift-detection tooling across all runtime environments to provide the board with live operational performance metrics.</w:t>
            </w:r>
          </w:p>
        </w:tc>
        <w:tc>
          <w:tcPr>
            <w:tcW w:type="dxa" w:w="5669"/>
            <w:shd w:val="clear" w:color="auto" w:fill="FFF2CC"/>
          </w:tcPr>
          <w:p>
            <w:r/>
            <w:r>
              <w:rPr>
                <w:b/>
              </w:rPr>
              <w:t>Require executive management to give the board's risk committee a quarterly governance report on all AI use cases and incidents.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 board-chartered, cross-functional AI steering committee to set risk appetite, approve policies and allocate decision rights.</w:t>
            </w:r>
          </w:p>
        </w:tc>
        <w:tc>
          <w:tcPr>
            <w:tcW w:type="dxa" w:w="5669"/>
            <w:shd w:val="clear" w:color="auto" w:fill="FFF2CC"/>
          </w:tcPr>
          <w:p>
            <w:r/>
            <w:r>
              <w:rPr>
                <w:b/>
              </w:rPr>
              <w:t>Create a cross-functional AI committee, mandated by the board, to set risk appetite, approve rules and assign who decides.</w:t>
            </w:r>
          </w:p>
        </w:tc>
        <w:tc>
          <w:tcPr>
            <w:tcW w:type="dxa" w:w="1361"/>
          </w:tcPr>
          <w:p>
            <w:r/>
            <w:r>
              <w:rPr>
                <w:b w:val="0"/>
                <w:color w:val="BE5000"/>
              </w:rPr>
              <w:t>✱ 已改</w:t>
            </w:r>
          </w:p>
        </w:tc>
      </w:tr>
      <w:tr>
        <w:tc>
          <w:tcPr>
            <w:tcW w:type="dxa" w:w="907"/>
          </w:tcPr>
          <w:p>
            <w:r/>
            <w:r>
              <w:rPr>
                <w:b/>
              </w:rPr>
              <w:t>C</w:t>
            </w:r>
          </w:p>
        </w:tc>
        <w:tc>
          <w:tcPr>
            <w:tcW w:type="dxa" w:w="5669"/>
          </w:tcPr>
          <w:p>
            <w:r/>
            <w:r>
              <w:rPr>
                <w:b w:val="0"/>
              </w:rPr>
              <w:t>Conduct mandatory conformity assessments and algorithmic impact assessments for high-risk use cases prior to defining the enterprise AI risk taxonomy and strategic objectives.</w:t>
            </w:r>
          </w:p>
        </w:tc>
        <w:tc>
          <w:tcPr>
            <w:tcW w:type="dxa" w:w="5669"/>
          </w:tcPr>
          <w:p>
            <w:r/>
            <w:r>
              <w:rPr>
                <w:b w:val="0"/>
              </w:rPr>
              <w:t>Conduct mandatory conformity assessments and algorithmic impact assessments for high-risk use cases prior to defining the enterprise AI risk taxonomy and strategic objectives.</w:t>
            </w:r>
          </w:p>
        </w:tc>
        <w:tc>
          <w:tcPr>
            <w:tcW w:type="dxa" w:w="1361"/>
          </w:tcPr>
          <w:p>
            <w:r/>
            <w:r>
              <w:rPr>
                <w:b w:val="0"/>
                <w:color w:val="787878"/>
              </w:rPr>
              <w:t>未改</w:t>
            </w:r>
          </w:p>
        </w:tc>
      </w:tr>
      <w:tr>
        <w:tc>
          <w:tcPr>
            <w:tcW w:type="dxa" w:w="907"/>
          </w:tcPr>
          <w:p>
            <w:r/>
            <w:r>
              <w:rPr>
                <w:b/>
              </w:rPr>
              <w:t>D</w:t>
            </w:r>
          </w:p>
        </w:tc>
        <w:tc>
          <w:tcPr>
            <w:tcW w:type="dxa" w:w="5669"/>
          </w:tcPr>
          <w:p>
            <w:r/>
            <w:r>
              <w:rPr>
                <w:b w:val="0"/>
              </w:rPr>
              <w:t>Authorize individual business unit leaders to establish local risk tolerances and procure proprietary AI vendor solutions tailored to their division's commercial requirements.</w:t>
            </w:r>
          </w:p>
        </w:tc>
        <w:tc>
          <w:tcPr>
            <w:tcW w:type="dxa" w:w="5669"/>
            <w:shd w:val="clear" w:color="auto" w:fill="FFF2CC"/>
          </w:tcPr>
          <w:p>
            <w:r/>
            <w:r>
              <w:rPr>
                <w:b/>
              </w:rPr>
              <w:t>Ask the chief information officer to own AI policy and enforcement, with the board receiving an annual summary.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Leadership) and NIST AI RMF (GOVERN 1.1, 1.2), effective AI enterprise governance requires top-down leadership, formal oversight structures, and defined decision rights. Establishing a board-chartered cross-functional AI steering committee guarantees that risk appetite, enterprise-wide policy, and Three Lines Model accountability are institutionalized before technical or operational deployment scales.</w:t>
      </w:r>
    </w:p>
    <w:p>
      <w:pPr>
        <w:spacing w:after="60"/>
      </w:pPr>
      <w:r>
        <w:rPr>
          <w:b/>
          <w:i w:val="0"/>
          <w:sz w:val="18"/>
        </w:rPr>
        <w:t>改写后的错误选项解析与错误类型：</w:t>
      </w:r>
    </w:p>
    <w:p>
      <w:pPr>
        <w:spacing w:after="60"/>
      </w:pPr>
      <w:r>
        <w:rPr>
          <w:b w:val="0"/>
          <w:i w:val="0"/>
          <w:sz w:val="18"/>
        </w:rPr>
        <w:t xml:space="preserve">  A（已改）A: Reporting supports oversight but presumes a defined structure, risk appetite and decision rights that the board has not yet established.　【类型：Reporting before structure】</w:t>
      </w:r>
    </w:p>
    <w:p>
      <w:pPr>
        <w:spacing w:after="60"/>
      </w:pPr>
      <w:r>
        <w:rPr>
          <w:b w:val="0"/>
          <w:i w:val="0"/>
          <w:sz w:val="18"/>
        </w:rPr>
        <w:t xml:space="preserve">  C（未改）Performing conformity assessments prior to establishing the enterprise AI risk taxonomy and corporate strategy is out of sequence; foundational governance and classification criteria must precede operational assessments.　【类型：Assessments before the risk taxonomy and objectives】</w:t>
      </w:r>
    </w:p>
    <w:p>
      <w:pPr>
        <w:spacing w:after="60"/>
      </w:pPr>
      <w:r>
        <w:rPr>
          <w:b w:val="0"/>
          <w:i w:val="0"/>
          <w:sz w:val="18"/>
        </w:rPr>
        <w:t xml:space="preserve">  D（已改）D: Placing ownership with one executive and giving the board only an annual summary lacks cross-functional input and gives the board little real oversight.　【类型：Concentrating ownership in one executive】</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7. 第一批（试点） · FIRST · D2.2 Enterprise AI Asset Inventory &amp; Model Cards</w:t>
      </w:r>
    </w:p>
    <w:p>
      <w:pPr>
        <w:spacing w:after="60"/>
      </w:pPr>
      <w:r>
        <w:rPr>
          <w:b w:val="0"/>
          <w:i w:val="0"/>
          <w:color w:val="5A5A5A"/>
          <w:sz w:val="17"/>
        </w:rPr>
        <w:t>ID：aaig-pipe-1791941015830-1　难度：Director-Level</w:t>
      </w:r>
    </w:p>
    <w:p>
      <w:pPr>
        <w:spacing w:after="60"/>
      </w:pPr>
      <w:r>
        <w:rPr>
          <w:b w:val="0"/>
          <w:i w:val="0"/>
        </w:rPr>
        <w:t>情境：A multinational financial services enterprise operating federated business units is establishing an Enterprise AI Asset Inventory and standardized model card framework to align with ISO/IEC 42001 and NIST AI RMF. An internal review reveals widespread shadow AI deployments, disparate definitions of what constitutes an AI system, and inconsistent documentation across subsidiaries.</w:t>
      </w:r>
    </w:p>
    <w:p>
      <w:pPr>
        <w:spacing w:after="60"/>
      </w:pPr>
      <w:r>
        <w:rPr>
          <w:b/>
          <w:i w:val="0"/>
        </w:rPr>
        <w:t>问题：To systematically establish the AI asset inventory under an enterprise governance mandate, what should the AI Governance Director do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and integrate an automated AI discovery and metadata-scraping scanner across all enterprise cloud environments and code repositories.</w:t>
            </w:r>
          </w:p>
        </w:tc>
        <w:tc>
          <w:tcPr>
            <w:tcW w:type="dxa" w:w="5669"/>
            <w:shd w:val="clear" w:color="auto" w:fill="FFF2CC"/>
          </w:tcPr>
          <w:p>
            <w:r/>
            <w:r>
              <w:rPr>
                <w:b/>
              </w:rPr>
              <w:t>Run an amnesty period in which business units can register shadow AI systems under the governance policy, using their own descriptions.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enterprise AI asset taxonomy and define formal classification criteria aligned with organizational risk appetite.</w:t>
            </w:r>
          </w:p>
        </w:tc>
        <w:tc>
          <w:tcPr>
            <w:tcW w:type="dxa" w:w="5669"/>
            <w:shd w:val="clear" w:color="auto" w:fill="FFF2CC"/>
          </w:tcPr>
          <w:p>
            <w:r/>
            <w:r>
              <w:rPr>
                <w:b/>
              </w:rPr>
              <w:t>Agree one enterprise definition of an AI system and formal classification criteria linked to the organization's risk limits.</w:t>
            </w:r>
          </w:p>
        </w:tc>
        <w:tc>
          <w:tcPr>
            <w:tcW w:type="dxa" w:w="1361"/>
          </w:tcPr>
          <w:p>
            <w:r/>
            <w:r>
              <w:rPr>
                <w:b w:val="0"/>
                <w:color w:val="BE5000"/>
              </w:rPr>
              <w:t>✱ 已改</w:t>
            </w:r>
          </w:p>
        </w:tc>
      </w:tr>
      <w:tr>
        <w:tc>
          <w:tcPr>
            <w:tcW w:type="dxa" w:w="907"/>
          </w:tcPr>
          <w:p>
            <w:r/>
            <w:r>
              <w:rPr>
                <w:b/>
              </w:rPr>
              <w:t>C</w:t>
            </w:r>
          </w:p>
        </w:tc>
        <w:tc>
          <w:tcPr>
            <w:tcW w:type="dxa" w:w="5669"/>
          </w:tcPr>
          <w:p>
            <w:r/>
            <w:r>
              <w:rPr>
                <w:b w:val="0"/>
              </w:rPr>
              <w:t>Mandate that first-line product teams complete comprehensive model cards and impact disclosures for all existing production models.</w:t>
            </w:r>
          </w:p>
        </w:tc>
        <w:tc>
          <w:tcPr>
            <w:tcW w:type="dxa" w:w="5669"/>
          </w:tcPr>
          <w:p>
            <w:r/>
            <w:r>
              <w:rPr>
                <w:b w:val="0"/>
              </w:rPr>
              <w:t>Mandate that first-line product teams complete comprehensive model cards and impact disclosures for all existing production models.</w:t>
            </w:r>
          </w:p>
        </w:tc>
        <w:tc>
          <w:tcPr>
            <w:tcW w:type="dxa" w:w="1361"/>
          </w:tcPr>
          <w:p>
            <w:r/>
            <w:r>
              <w:rPr>
                <w:b w:val="0"/>
                <w:color w:val="787878"/>
              </w:rPr>
              <w:t>未改</w:t>
            </w:r>
          </w:p>
        </w:tc>
      </w:tr>
      <w:tr>
        <w:tc>
          <w:tcPr>
            <w:tcW w:type="dxa" w:w="907"/>
          </w:tcPr>
          <w:p>
            <w:r/>
            <w:r>
              <w:rPr>
                <w:b/>
              </w:rPr>
              <w:t>D</w:t>
            </w:r>
          </w:p>
        </w:tc>
        <w:tc>
          <w:tcPr>
            <w:tcW w:type="dxa" w:w="5669"/>
          </w:tcPr>
          <w:p>
            <w:r/>
            <w:r>
              <w:rPr>
                <w:b w:val="0"/>
              </w:rPr>
              <w:t>Direct Internal Audit to independently catalogue all unapproved shadow AI instances and validate initial system categorization across lines of business.</w:t>
            </w:r>
          </w:p>
        </w:tc>
        <w:tc>
          <w:tcPr>
            <w:tcW w:type="dxa" w:w="5669"/>
            <w:shd w:val="clear" w:color="auto" w:fill="FFF2CC"/>
          </w:tcPr>
          <w:p>
            <w:r/>
            <w:r>
              <w:rPr>
                <w:b/>
              </w:rPr>
              <w:t>Ask each subsidiary to nominate an AI owner who will report new systems to the central team as they are introduced.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 and Annex A) and NIST AI RMF (GOVERN 1.1, MAP 1.1), an organization must first define what constitutes an AI asset through an enterprise-wide taxonomy and classification scheme aligned to risk appetite before operationalizing inventory capture or documentation. Without an agreed taxonomy and classification standard, teams cannot consistently identify, tier, or document AI assets.</w:t>
      </w:r>
    </w:p>
    <w:p>
      <w:pPr>
        <w:spacing w:after="60"/>
      </w:pPr>
      <w:r>
        <w:rPr>
          <w:b/>
          <w:i w:val="0"/>
          <w:sz w:val="18"/>
        </w:rPr>
        <w:t>改写后的错误选项解析与错误类型：</w:t>
      </w:r>
    </w:p>
    <w:p>
      <w:pPr>
        <w:spacing w:after="60"/>
      </w:pPr>
      <w:r>
        <w:rPr>
          <w:b w:val="0"/>
          <w:i w:val="0"/>
          <w:sz w:val="18"/>
        </w:rPr>
        <w:t xml:space="preserve">  A（已改）A: Voluntary registration surfaces systems, but without agreed definitions and classification criteria the entries are inconsistent and cannot be tiered.　【类型：Collection before common definitions】</w:t>
      </w:r>
    </w:p>
    <w:p>
      <w:pPr>
        <w:spacing w:after="60"/>
      </w:pPr>
      <w:r>
        <w:rPr>
          <w:b w:val="0"/>
          <w:i w:val="0"/>
          <w:sz w:val="18"/>
        </w:rPr>
        <w:t xml:space="preserve">  C（未改）Enforcing completion of model cards across all production models is premature (wrong sequence/timing); without standardized templates, taxonomy, and risk-tier thresholds, the submitted documentation will be non-standardized and unmanageable.　【类型：Documentation before taxonomy and templates】</w:t>
      </w:r>
    </w:p>
    <w:p>
      <w:pPr>
        <w:spacing w:after="60"/>
      </w:pPr>
      <w:r>
        <w:rPr>
          <w:b w:val="0"/>
          <w:i w:val="0"/>
          <w:sz w:val="18"/>
        </w:rPr>
        <w:t xml:space="preserve">  D（已改）D: Contacts help capture systems going forward, but they do not define what counts as an AI system or how to classify the existing ones.　【类型：Process for new systems without common definitions】</w:t>
      </w:r>
    </w:p>
    <w:p>
      <w:pPr>
        <w:spacing w:after="60"/>
      </w:pPr>
      <w:r>
        <w:rPr>
          <w:b w:val="0"/>
          <w:i w:val="0"/>
          <w:color w:val="5A5A5A"/>
          <w:sz w:val="17"/>
        </w:rPr>
        <w:t>出处（沿用原文，未核验）：NIST AI RMF 1.0 GOVERN 1.2, GOVERN 1.6 &amp; MAP 1.1; Mitchell et al. (arXiv:1810.03993); ISO/IEC 42001:2023 (verify exact inventory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8. 第一批（试点） · FIRST · D3.2 Business Case, Value Realization &amp; ROI</w:t>
      </w:r>
    </w:p>
    <w:p>
      <w:pPr>
        <w:spacing w:after="60"/>
      </w:pPr>
      <w:r>
        <w:rPr>
          <w:b w:val="0"/>
          <w:i w:val="0"/>
          <w:color w:val="5A5A5A"/>
          <w:sz w:val="17"/>
        </w:rPr>
        <w:t>ID：aaig-pipe-1791941520433-26　难度：Intermediate</w:t>
      </w:r>
    </w:p>
    <w:p>
      <w:pPr>
        <w:spacing w:after="60"/>
      </w:pPr>
      <w:r>
        <w:rPr>
          <w:b w:val="0"/>
          <w:i w:val="0"/>
        </w:rPr>
        <w:t>情境：A multinational financial services enterprise is preparing a business case to integrate a generative AI virtual assistant into its customer-facing operations. Executive leadership requires assurance that the proposed initiative delivers verifiable return on investment (ROI) while remaining within the firm's strategic risk boundaries.</w:t>
      </w:r>
    </w:p>
    <w:p>
      <w:pPr>
        <w:spacing w:after="60"/>
      </w:pPr>
      <w:r>
        <w:rPr>
          <w:b/>
          <w:i w:val="0"/>
        </w:rPr>
        <w:t>问题：What should the enterprise AI governance steering committee mandate FIRST to ensure sound business case evaluation and sustained value realization?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drift monitoring and financial tracking tools to capture real-time operational efficiency gains.</w:t>
            </w:r>
          </w:p>
        </w:tc>
        <w:tc>
          <w:tcPr>
            <w:tcW w:type="dxa" w:w="5669"/>
            <w:shd w:val="clear" w:color="auto" w:fill="FFF2CC"/>
          </w:tcPr>
          <w:p>
            <w:r/>
            <w:r>
              <w:rPr>
                <w:b/>
              </w:rPr>
              <w:t>Commission an external market study of comparable assistant deployments and use it as the baseline for expected savings.</w:t>
            </w:r>
          </w:p>
        </w:tc>
        <w:tc>
          <w:tcPr>
            <w:tcW w:type="dxa" w:w="1361"/>
          </w:tcPr>
          <w:p>
            <w:r/>
            <w:r>
              <w:rPr>
                <w:b w:val="0"/>
                <w:color w:val="BE5000"/>
              </w:rPr>
              <w:t>✱ 已改</w:t>
            </w:r>
          </w:p>
        </w:tc>
      </w:tr>
      <w:tr>
        <w:tc>
          <w:tcPr>
            <w:tcW w:type="dxa" w:w="907"/>
          </w:tcPr>
          <w:p>
            <w:r/>
            <w:r>
              <w:rPr>
                <w:b/>
              </w:rPr>
              <w:t>B</w:t>
            </w:r>
          </w:p>
        </w:tc>
        <w:tc>
          <w:tcPr>
            <w:tcW w:type="dxa" w:w="5669"/>
          </w:tcPr>
          <w:p>
            <w:r/>
            <w:r>
              <w:rPr>
                <w:b w:val="0"/>
              </w:rPr>
              <w:t>Authorize first-line customer support unit managers to independently define risk tolerance and financial success thresholds.</w:t>
            </w:r>
          </w:p>
        </w:tc>
        <w:tc>
          <w:tcPr>
            <w:tcW w:type="dxa" w:w="5669"/>
            <w:shd w:val="clear" w:color="auto" w:fill="FFF2CC"/>
          </w:tcPr>
          <w:p>
            <w:r/>
            <w:r>
              <w:rPr>
                <w:b/>
              </w:rPr>
              <w:t>Agree the funding envelope and delivery timeline with an accountable sponsor so that the business case can be tabled at the next board meeting.</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baseline performance metrics and strategic success criteria aligned with organizational objectives.</w:t>
            </w:r>
          </w:p>
        </w:tc>
        <w:tc>
          <w:tcPr>
            <w:tcW w:type="dxa" w:w="5669"/>
            <w:shd w:val="clear" w:color="auto" w:fill="FFF2CC"/>
          </w:tcPr>
          <w:p>
            <w:r/>
            <w:r>
              <w:rPr>
                <w:b/>
              </w:rPr>
              <w:t>Agree measurable baseline metrics and success criteria that link directly to the organization's strategic objectives.</w:t>
            </w:r>
          </w:p>
        </w:tc>
        <w:tc>
          <w:tcPr>
            <w:tcW w:type="dxa" w:w="1361"/>
          </w:tcPr>
          <w:p>
            <w:r/>
            <w:r>
              <w:rPr>
                <w:b w:val="0"/>
                <w:color w:val="BE5000"/>
              </w:rPr>
              <w:t>✱ 已改</w:t>
            </w:r>
          </w:p>
        </w:tc>
      </w:tr>
      <w:tr>
        <w:tc>
          <w:tcPr>
            <w:tcW w:type="dxa" w:w="907"/>
          </w:tcPr>
          <w:p>
            <w:r/>
            <w:r>
              <w:rPr>
                <w:b/>
              </w:rPr>
              <w:t>D</w:t>
            </w:r>
          </w:p>
        </w:tc>
        <w:tc>
          <w:tcPr>
            <w:tcW w:type="dxa" w:w="5669"/>
          </w:tcPr>
          <w:p>
            <w:r/>
            <w:r>
              <w:rPr>
                <w:b w:val="0"/>
              </w:rPr>
              <w:t>Mandate an independent third-line post-implementation audit to verify that proposed financial benefits comply with internal accounting standards.</w:t>
            </w:r>
          </w:p>
        </w:tc>
        <w:tc>
          <w:tcPr>
            <w:tcW w:type="dxa" w:w="5669"/>
          </w:tcPr>
          <w:p>
            <w:r/>
            <w:r>
              <w:rPr>
                <w:b w:val="0"/>
              </w:rPr>
              <w:t>Mandate an independent third-line post-implementation audit to verify that proposed financial benefits comply with internal accounting standards.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主解析（未改动）：In accordance with ISO/IEC 42001 (Clause 6.2 - AI objectives and planning to achieve them) and NIST AI RMF (GOVERN 1.2), establishing clear baseline performance metrics and strategic success criteria aligned with organizational objectives is the foundational first step for any AI business case. Value realization cannot be reliably measured or governed without pre-established baselines and clear definitions of strategic success.</w:t>
      </w:r>
    </w:p>
    <w:p>
      <w:pPr>
        <w:spacing w:after="60"/>
      </w:pPr>
      <w:r>
        <w:rPr>
          <w:b/>
          <w:i w:val="0"/>
          <w:sz w:val="18"/>
        </w:rPr>
        <w:t>改写后的错误选项解析与错误类型：</w:t>
      </w:r>
    </w:p>
    <w:p>
      <w:pPr>
        <w:spacing w:after="60"/>
      </w:pPr>
      <w:r>
        <w:rPr>
          <w:b w:val="0"/>
          <w:i w:val="0"/>
          <w:sz w:val="18"/>
        </w:rPr>
        <w:t xml:space="preserve">  A（已改）A: Market evidence can inform expectations, but without the firm's own baseline and success criteria the savings cannot later be verified.　【类型：External benchmark instead of an internal baseline】</w:t>
      </w:r>
    </w:p>
    <w:p>
      <w:pPr>
        <w:spacing w:after="60"/>
      </w:pPr>
      <w:r>
        <w:rPr>
          <w:b w:val="0"/>
          <w:i w:val="0"/>
          <w:sz w:val="18"/>
        </w:rPr>
        <w:t xml:space="preserve">  B（已改）B: Funding and timing belong in a business case, but fixing them before success criteria exist commits money to undefined outcomes.　【类型：Commitment of funds before success criteria】</w:t>
      </w:r>
    </w:p>
    <w:p>
      <w:pPr>
        <w:spacing w:after="60"/>
      </w:pPr>
      <w:r>
        <w:rPr>
          <w:b w:val="0"/>
          <w:i w:val="0"/>
          <w:sz w:val="18"/>
        </w:rPr>
        <w:t xml:space="preserve">  D（未改）Option D represents wrong timing and focus; third-line independent audits assess effectiveness post-implementation or during formal review cycles, rather than acting as a foundational step for business case formulation.　【类型：Post-implementation assurance at the planning stage】</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9. 第一批（试点） · FIRST · D3.2 Business Case, Value Realization &amp; ROI</w:t>
      </w:r>
    </w:p>
    <w:p>
      <w:pPr>
        <w:spacing w:after="60"/>
      </w:pPr>
      <w:r>
        <w:rPr>
          <w:b w:val="0"/>
          <w:i w:val="0"/>
          <w:color w:val="5A5A5A"/>
          <w:sz w:val="17"/>
        </w:rPr>
        <w:t>ID：aaig-pipe-1791943105271-11-qkes3　难度：Director-Level</w:t>
      </w:r>
    </w:p>
    <w:p>
      <w:pPr>
        <w:spacing w:after="60"/>
      </w:pPr>
      <w:r>
        <w:rPr>
          <w:b w:val="0"/>
          <w:i w:val="0"/>
        </w:rPr>
        <w:t>情境：A multinational financial services enterprise plans to deploy an enterprise-wide generative AI platform to automate core underwriting and customer advisory workflows. The board of directors mandates that executive leadership establish a rigorous AI business case demonstrating value realization, total cost of ownership, and compliance with the enterprise risk appetite before capital expenditure is released.</w:t>
      </w:r>
    </w:p>
    <w:p>
      <w:pPr>
        <w:spacing w:after="60"/>
      </w:pPr>
      <w:r>
        <w:rPr>
          <w:b/>
          <w:i w:val="0"/>
        </w:rPr>
        <w:t>问题：From an AI governance director perspective, what should be established FIRST to govern value realization and support capital allocation?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automated ModelOps monitoring tooling to track algorithmic latency, drift, and API throughput against operational SLAs.</w:t>
            </w:r>
          </w:p>
        </w:tc>
        <w:tc>
          <w:tcPr>
            <w:tcW w:type="dxa" w:w="5669"/>
            <w:shd w:val="clear" w:color="auto" w:fill="FFF2CC"/>
          </w:tcPr>
          <w:p>
            <w:r/>
            <w:r>
              <w:rPr>
                <w:b/>
              </w:rPr>
              <w:t>Ask finance to model three-year cost scenarios for the platform against the current baseline and present the lowest-cost scenario to the board.</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Define strategic value metrics, business objectives and risk-adjusted return thresholds approved by the AI steering committee.</w:t>
            </w:r>
          </w:p>
        </w:tc>
        <w:tc>
          <w:tcPr>
            <w:tcW w:type="dxa" w:w="5669"/>
            <w:shd w:val="clear" w:color="auto" w:fill="FFF2CC"/>
          </w:tcPr>
          <w:p>
            <w:r/>
            <w:r>
              <w:rPr>
                <w:b/>
              </w:rPr>
              <w:t>Define value metrics, business objectives and risk-adjusted return thresholds, approved by the executive team within risk appetite.</w:t>
            </w:r>
          </w:p>
        </w:tc>
        <w:tc>
          <w:tcPr>
            <w:tcW w:type="dxa" w:w="1361"/>
          </w:tcPr>
          <w:p>
            <w:r/>
            <w:r>
              <w:rPr>
                <w:b w:val="0"/>
                <w:color w:val="BE5000"/>
              </w:rPr>
              <w:t>✱ 已改</w:t>
            </w:r>
          </w:p>
        </w:tc>
      </w:tr>
      <w:tr>
        <w:tc>
          <w:tcPr>
            <w:tcW w:type="dxa" w:w="907"/>
          </w:tcPr>
          <w:p>
            <w:r/>
            <w:r>
              <w:rPr>
                <w:b/>
              </w:rPr>
              <w:t>C</w:t>
            </w:r>
          </w:p>
        </w:tc>
        <w:tc>
          <w:tcPr>
            <w:tcW w:type="dxa" w:w="5669"/>
          </w:tcPr>
          <w:p>
            <w:r/>
            <w:r>
              <w:rPr>
                <w:b w:val="0"/>
              </w:rPr>
              <w:t>Empower first-line business unit managers to establish autonomous value criteria and approve discretionary risk-adjusted ROI thresholds.</w:t>
            </w:r>
          </w:p>
        </w:tc>
        <w:tc>
          <w:tcPr>
            <w:tcW w:type="dxa" w:w="5669"/>
            <w:shd w:val="clear" w:color="auto" w:fill="FFF2CC"/>
          </w:tcPr>
          <w:p>
            <w:r/>
            <w:r>
              <w:rPr>
                <w:b/>
              </w:rPr>
              <w:t>Ask business unit sponsors to submit benefit forecasts, which finance reviews for arithmetic accuracy before approval under the investment policy.</w:t>
            </w:r>
          </w:p>
        </w:tc>
        <w:tc>
          <w:tcPr>
            <w:tcW w:type="dxa" w:w="1361"/>
          </w:tcPr>
          <w:p>
            <w:r/>
            <w:r>
              <w:rPr>
                <w:b w:val="0"/>
                <w:color w:val="BE5000"/>
              </w:rPr>
              <w:t>✱ 已改</w:t>
            </w:r>
          </w:p>
        </w:tc>
      </w:tr>
      <w:tr>
        <w:tc>
          <w:tcPr>
            <w:tcW w:type="dxa" w:w="907"/>
          </w:tcPr>
          <w:p>
            <w:r/>
            <w:r>
              <w:rPr>
                <w:b/>
              </w:rPr>
              <w:t>D</w:t>
            </w:r>
          </w:p>
        </w:tc>
        <w:tc>
          <w:tcPr>
            <w:tcW w:type="dxa" w:w="5669"/>
          </w:tcPr>
          <w:p>
            <w:r/>
            <w:r>
              <w:rPr>
                <w:b w:val="0"/>
              </w:rPr>
              <w:t>Commission an independent external audit to validate conformity benchmarks against ISO/IEC 42001 prior to business case approval.</w:t>
            </w:r>
          </w:p>
        </w:tc>
        <w:tc>
          <w:tcPr>
            <w:tcW w:type="dxa" w:w="5669"/>
          </w:tcPr>
          <w:p>
            <w:r/>
            <w:r>
              <w:rPr>
                <w:b w:val="0"/>
              </w:rPr>
              <w:t>Commission an independent external audit to validate conformity benchmarks against ISO/IEC 42001 prior to business case approval.</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主解析（未改动）：In accordance with ISO/IEC 42001 (Clause 6.2) and NIST AI RMF (GOVERN 1.1 and 1.2), establishing an AI business case requires defining top-down strategic objectives, measurable value KPIs, and risk-adjusted return thresholds approved by executive governance (e.g., AI Steering Committee) FIRST. This ensures that organizational investments align with corporate risk appetite and strategic value realization goals before committing technical or financial resources.</w:t>
      </w:r>
    </w:p>
    <w:p>
      <w:pPr>
        <w:spacing w:after="60"/>
      </w:pPr>
      <w:r>
        <w:rPr>
          <w:b/>
          <w:i w:val="0"/>
          <w:sz w:val="18"/>
        </w:rPr>
        <w:t>改写后的错误选项解析与错误类型：</w:t>
      </w:r>
    </w:p>
    <w:p>
      <w:pPr>
        <w:spacing w:after="60"/>
      </w:pPr>
      <w:r>
        <w:rPr>
          <w:b w:val="0"/>
          <w:i w:val="0"/>
          <w:sz w:val="18"/>
        </w:rPr>
        <w:t xml:space="preserve">  A（已改）A: Cost modelling is part of the case, but without agreed value metrics and risk-adjusted thresholds the scenarios compare costs against undefined benefits.　【类型：Cost analysis without an agreed value definition】</w:t>
      </w:r>
    </w:p>
    <w:p>
      <w:pPr>
        <w:spacing w:after="60"/>
      </w:pPr>
      <w:r>
        <w:rPr>
          <w:b w:val="0"/>
          <w:i w:val="0"/>
          <w:sz w:val="18"/>
        </w:rPr>
        <w:t xml:space="preserve">  C（已改）C: Forecasts reviewed only for arithmetic accept each sponsor's own definition of value, so they cannot be compared or tied to risk appetite.　【类型：Sponsor-defined value accepted unchallenged】</w:t>
      </w:r>
    </w:p>
    <w:p>
      <w:pPr>
        <w:spacing w:after="60"/>
      </w:pPr>
      <w:r>
        <w:rPr>
          <w:b w:val="0"/>
          <w:i w:val="0"/>
          <w:sz w:val="18"/>
        </w:rPr>
        <w:t xml:space="preserve">  D（未改）Option D represents a premature timing error, as independent third-party conformity assessments occur during or after system readiness, not before foundational business case approval.　【类型：External conformity audit before the business case】</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10. 第一批（试点） · FIRST · D1.2 Strategic Alignment &amp; Business Objectives</w:t>
      </w:r>
    </w:p>
    <w:p>
      <w:pPr>
        <w:spacing w:after="60"/>
      </w:pPr>
      <w:r>
        <w:rPr>
          <w:b w:val="0"/>
          <w:i w:val="0"/>
          <w:color w:val="5A5A5A"/>
          <w:sz w:val="17"/>
        </w:rPr>
        <w:t>ID：aaig-pipe-1791943347849-61-aq1v4　难度：Director-Level</w:t>
      </w:r>
    </w:p>
    <w:p>
      <w:pPr>
        <w:spacing w:after="60"/>
      </w:pPr>
      <w:r>
        <w:rPr>
          <w:b w:val="0"/>
          <w:i w:val="0"/>
        </w:rPr>
        <w:t>情境：A multinational financial services enterprise plans a major transformation program to integrate generative AI and machine learning into its credit underwriting, risk modeling, and client advisory services. The Board of Directors has mandated that all AI investments directly support enterprise strategic objectives while operating strictly within approved risk appetite boundaries. The newly appointed Director of AI Governance must establish foundational oversight before business units commit capital to individual deployments.</w:t>
      </w:r>
    </w:p>
    <w:p>
      <w:pPr>
        <w:spacing w:after="60"/>
      </w:pPr>
      <w:r>
        <w:rPr>
          <w:b/>
          <w:i w:val="0"/>
        </w:rPr>
        <w:t>问题：What should the Director of AI Governance do FIRST to establish strategic alignment and enterprise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an enterprise-wide model monitoring and explainability platform to baseline the performance of ongoing pilot use cases across core business units.</w:t>
            </w:r>
          </w:p>
        </w:tc>
        <w:tc>
          <w:tcPr>
            <w:tcW w:type="dxa" w:w="5669"/>
            <w:shd w:val="clear" w:color="auto" w:fill="FFF2CC"/>
          </w:tcPr>
          <w:p>
            <w:r/>
            <w:r>
              <w:rPr>
                <w:b/>
              </w:rPr>
              <w:t>Survey each business unit's current and planned AI projects and rank them in a governance portfolio by expected revenue contribution.</w:t>
            </w:r>
          </w:p>
        </w:tc>
        <w:tc>
          <w:tcPr>
            <w:tcW w:type="dxa" w:w="1361"/>
          </w:tcPr>
          <w:p>
            <w:r/>
            <w:r>
              <w:rPr>
                <w:b w:val="0"/>
                <w:color w:val="BE5000"/>
              </w:rPr>
              <w:t>✱ 已改</w:t>
            </w:r>
          </w:p>
        </w:tc>
      </w:tr>
      <w:tr>
        <w:tc>
          <w:tcPr>
            <w:tcW w:type="dxa" w:w="907"/>
          </w:tcPr>
          <w:p>
            <w:r/>
            <w:r>
              <w:rPr>
                <w:b/>
              </w:rPr>
              <w:t>B</w:t>
            </w:r>
          </w:p>
        </w:tc>
        <w:tc>
          <w:tcPr>
            <w:tcW w:type="dxa" w:w="5669"/>
          </w:tcPr>
          <w:p>
            <w:r/>
            <w:r>
              <w:rPr>
                <w:b w:val="0"/>
              </w:rPr>
              <w:t>Direct the internal audit activity to perform an independent pre-implementation assurance review and approve business cases for all proposed projects.</w:t>
            </w:r>
          </w:p>
        </w:tc>
        <w:tc>
          <w:tcPr>
            <w:tcW w:type="dxa" w:w="5669"/>
            <w:shd w:val="clear" w:color="auto" w:fill="FFF2CC"/>
          </w:tcPr>
          <w:p>
            <w:r/>
            <w:r>
              <w:rPr>
                <w:b/>
              </w:rPr>
              <w:t>Ask the chief risk officer to draft an AI risk policy and circulate it to business units for comment.</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algorithmic impact assessments and conformity evaluations on high-risk AI models currently queued for production rollout.</w:t>
            </w:r>
          </w:p>
        </w:tc>
        <w:tc>
          <w:tcPr>
            <w:tcW w:type="dxa" w:w="5669"/>
          </w:tcPr>
          <w:p>
            <w:r/>
            <w:r>
              <w:rPr>
                <w:b w:val="0"/>
              </w:rPr>
              <w:t>Conduct comprehensive algorithmic impact assessments and conformity evaluations on high-risk AI models currently queued for production rollout.</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Establish an AI governance charter and steering committee to define strategic AI objectives, enterprise risk appetite, and decision rights.</w:t>
            </w:r>
          </w:p>
        </w:tc>
        <w:tc>
          <w:tcPr>
            <w:tcW w:type="dxa" w:w="5669"/>
            <w:shd w:val="clear" w:color="auto" w:fill="FFF2CC"/>
          </w:tcPr>
          <w:p>
            <w:r/>
            <w:r>
              <w:rPr>
                <w:b/>
              </w:rPr>
              <w:t>Set up a board-backed mandate and committee to define strategic AI objectives, risk appetite and who decides.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5.1–5.3) and NIST AI RMF (GOVERN 1.1 and 1.2), the foundational first step in AI enterprise governance is establishing top-down leadership, an AI governance charter, and a cross-functional steering committee. This mechanism defines strategic objectives, organizational risk appetite, accountability, and decision rights before tools are acquired or use cases are advanced.</w:t>
      </w:r>
    </w:p>
    <w:p>
      <w:pPr>
        <w:spacing w:after="60"/>
      </w:pPr>
      <w:r>
        <w:rPr>
          <w:b/>
          <w:i w:val="0"/>
          <w:sz w:val="18"/>
        </w:rPr>
        <w:t>改写后的错误选项解析与错误类型：</w:t>
      </w:r>
    </w:p>
    <w:p>
      <w:pPr>
        <w:spacing w:after="60"/>
      </w:pPr>
      <w:r>
        <w:rPr>
          <w:b w:val="0"/>
          <w:i w:val="0"/>
          <w:sz w:val="18"/>
        </w:rPr>
        <w:t xml:space="preserve">  A（已改）A: A portfolio view is useful input, but ranking by revenue before objectives and risk appetite are defined lets commercial pull decide strategic alignment.　【类型：Portfolio ranking before strategic criteria】</w:t>
      </w:r>
    </w:p>
    <w:p>
      <w:pPr>
        <w:spacing w:after="60"/>
      </w:pPr>
      <w:r>
        <w:rPr>
          <w:b w:val="0"/>
          <w:i w:val="0"/>
          <w:sz w:val="18"/>
        </w:rPr>
        <w:t xml:space="preserve">  B（已改）B: A risk policy is an expected output, but drafting it before the charter and decision rights are settled leaves it without authority or an approver.　【类型：Policy drafting before the mandate】</w:t>
      </w:r>
    </w:p>
    <w:p>
      <w:pPr>
        <w:spacing w:after="60"/>
      </w:pPr>
      <w:r>
        <w:rPr>
          <w:b w:val="0"/>
          <w:i w:val="0"/>
          <w:sz w:val="18"/>
        </w:rPr>
        <w:t xml:space="preserve">  C（未改）Performing algorithmic impact assessments and conformity reviews is an operational risk management activity (MAP/MEASURE in NIST AI RMF) that is premature before defining the enterprise AI governance charter, risk taxonomy, and risk tolerance thresholds (wrong sequence).　【类型：Operational assessment before the governance mandate】</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11. 第一批（试点） · FIRST · D3.2 Business Case, Value Realization &amp; ROI</w:t>
      </w:r>
    </w:p>
    <w:p>
      <w:pPr>
        <w:spacing w:after="60"/>
      </w:pPr>
      <w:r>
        <w:rPr>
          <w:b w:val="0"/>
          <w:i w:val="0"/>
          <w:color w:val="5A5A5A"/>
          <w:sz w:val="17"/>
        </w:rPr>
        <w:t>ID：aaig-pipe-1791943556341-111-w9yo1　难度：Director-Level</w:t>
      </w:r>
    </w:p>
    <w:p>
      <w:pPr>
        <w:spacing w:after="60"/>
      </w:pPr>
      <w:r>
        <w:rPr>
          <w:b w:val="0"/>
          <w:i w:val="0"/>
        </w:rPr>
        <w:t>情境：A multinational commercial enterprise plans to invest in several high-impact artificial intelligence systems across its logistics and dynamic pricing business units. The Chief Information Officer seeks to present an enterprise business case to the executive board that guarantees sustained value realization, transparent return on investment (ROI), and strict risk governance.</w:t>
      </w:r>
    </w:p>
    <w:p>
      <w:pPr>
        <w:spacing w:after="60"/>
      </w:pPr>
      <w:r>
        <w:rPr>
          <w:b/>
          <w:i w:val="0"/>
        </w:rPr>
        <w:t>问题：To establish an effective governance foundation for AI value realization and performance monitoring, what should the AI steering committee require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Define standardized business value realization metrics and risk-adjusted baseline indicators aligned to strategic enterprise objectives.</w:t>
            </w:r>
          </w:p>
        </w:tc>
        <w:tc>
          <w:tcPr>
            <w:tcW w:type="dxa" w:w="5669"/>
            <w:shd w:val="clear" w:color="auto" w:fill="FFF2CC"/>
          </w:tcPr>
          <w:p>
            <w:r/>
            <w:r>
              <w:rPr>
                <w:b/>
              </w:rPr>
              <w:t>Define standard business value metrics and a risk-adjusted baseline linked to the strategic objectives of the enterprise.</w:t>
            </w:r>
          </w:p>
        </w:tc>
        <w:tc>
          <w:tcPr>
            <w:tcW w:type="dxa" w:w="1361"/>
          </w:tcPr>
          <w:p>
            <w:r/>
            <w:r>
              <w:rPr>
                <w:b w:val="0"/>
                <w:color w:val="BE5000"/>
              </w:rPr>
              <w:t>✱ 已改</w:t>
            </w:r>
          </w:p>
        </w:tc>
      </w:tr>
      <w:tr>
        <w:tc>
          <w:tcPr>
            <w:tcW w:type="dxa" w:w="907"/>
          </w:tcPr>
          <w:p>
            <w:r/>
            <w:r>
              <w:rPr>
                <w:b/>
              </w:rPr>
              <w:t>B</w:t>
            </w:r>
          </w:p>
        </w:tc>
        <w:tc>
          <w:tcPr>
            <w:tcW w:type="dxa" w:w="5669"/>
          </w:tcPr>
          <w:p>
            <w:r/>
            <w:r>
              <w:rPr>
                <w:b w:val="0"/>
              </w:rPr>
              <w:t>Procure an enterprise AI observability platform and initiate pre-deployment model validation testing across all candidate third-party solutions.</w:t>
            </w:r>
          </w:p>
        </w:tc>
        <w:tc>
          <w:tcPr>
            <w:tcW w:type="dxa" w:w="5669"/>
            <w:shd w:val="clear" w:color="auto" w:fill="FFF2CC"/>
          </w:tcPr>
          <w:p>
            <w:r/>
            <w:r>
              <w:rPr>
                <w:b/>
              </w:rPr>
              <w:t>Commission a pilot of the dynamic pricing system in one business unit to gather early evidence of its revenue effects and set a baseline.</w:t>
            </w:r>
          </w:p>
        </w:tc>
        <w:tc>
          <w:tcPr>
            <w:tcW w:type="dxa" w:w="1361"/>
          </w:tcPr>
          <w:p>
            <w:r/>
            <w:r>
              <w:rPr>
                <w:b w:val="0"/>
                <w:color w:val="BE5000"/>
              </w:rPr>
              <w:t>✱ 已改</w:t>
            </w:r>
          </w:p>
        </w:tc>
      </w:tr>
      <w:tr>
        <w:tc>
          <w:tcPr>
            <w:tcW w:type="dxa" w:w="907"/>
          </w:tcPr>
          <w:p>
            <w:r/>
            <w:r>
              <w:rPr>
                <w:b/>
              </w:rPr>
              <w:t>C</w:t>
            </w:r>
          </w:p>
        </w:tc>
        <w:tc>
          <w:tcPr>
            <w:tcW w:type="dxa" w:w="5669"/>
          </w:tcPr>
          <w:p>
            <w:r/>
            <w:r>
              <w:rPr>
                <w:b w:val="0"/>
              </w:rPr>
              <w:t>Direct the internal audit activity to formulate the business case risk appetite thresholds and approve financial return targets for management review.</w:t>
            </w:r>
          </w:p>
        </w:tc>
        <w:tc>
          <w:tcPr>
            <w:tcW w:type="dxa" w:w="5669"/>
          </w:tcPr>
          <w:p>
            <w:r/>
            <w:r>
              <w:rPr>
                <w:b w:val="0"/>
              </w:rPr>
              <w:t>Direct the internal audit activity to formulate the business case risk appetite thresholds and approve financial return targets for management review.</w:t>
            </w:r>
          </w:p>
        </w:tc>
        <w:tc>
          <w:tcPr>
            <w:tcW w:type="dxa" w:w="1361"/>
          </w:tcPr>
          <w:p>
            <w:r/>
            <w:r>
              <w:rPr>
                <w:b w:val="0"/>
                <w:color w:val="787878"/>
              </w:rPr>
              <w:t>未改</w:t>
            </w:r>
          </w:p>
        </w:tc>
      </w:tr>
      <w:tr>
        <w:tc>
          <w:tcPr>
            <w:tcW w:type="dxa" w:w="907"/>
          </w:tcPr>
          <w:p>
            <w:r/>
            <w:r>
              <w:rPr>
                <w:b/>
              </w:rPr>
              <w:t>D</w:t>
            </w:r>
          </w:p>
        </w:tc>
        <w:tc>
          <w:tcPr>
            <w:tcW w:type="dxa" w:w="5669"/>
          </w:tcPr>
          <w:p>
            <w:r/>
            <w:r>
              <w:rPr>
                <w:b w:val="0"/>
              </w:rPr>
              <w:t>Mandate that operational data science teams establish automated drift detection thresholds and technical latency benchmarks across all candidate models.</w:t>
            </w:r>
          </w:p>
        </w:tc>
        <w:tc>
          <w:tcPr>
            <w:tcW w:type="dxa" w:w="5669"/>
            <w:shd w:val="clear" w:color="auto" w:fill="FFF2CC"/>
          </w:tcPr>
          <w:p>
            <w:r/>
            <w:r>
              <w:rPr>
                <w:b/>
              </w:rPr>
              <w:t>Ask each business unit to propose its own return targets and consolidate them into a single enterprise business case under the investment policy.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 6.2 - AI objectives and planning) and NIST AI RMF (GOVERN 1.2), an enterprise must first define standardized, strategic business value and risk-adjusted performance baselines before deploying operational tracking or technical tooling. Establishing top-down value realization metrics ensures that subsequent investments, risk appetites, and performance monitoring directly align with corporate strategy and can objectively measure ROI throughout the AI lifecycle.</w:t>
      </w:r>
    </w:p>
    <w:p>
      <w:pPr>
        <w:spacing w:after="60"/>
      </w:pPr>
      <w:r>
        <w:rPr>
          <w:b/>
          <w:i w:val="0"/>
          <w:sz w:val="18"/>
        </w:rPr>
        <w:t>改写后的错误选项解析与错误类型：</w:t>
      </w:r>
    </w:p>
    <w:p>
      <w:pPr>
        <w:spacing w:after="60"/>
      </w:pPr>
      <w:r>
        <w:rPr>
          <w:b w:val="0"/>
          <w:i w:val="0"/>
          <w:sz w:val="18"/>
        </w:rPr>
        <w:t xml:space="preserve">  B（已改）B: A pilot yields usable evidence only if success measures and baselines were agreed beforehand. Otherwise the results cannot be judged.　【类型：Pilot before success measures】</w:t>
      </w:r>
    </w:p>
    <w:p>
      <w:pPr>
        <w:spacing w:after="60"/>
      </w:pPr>
      <w:r>
        <w:rPr>
          <w:b w:val="0"/>
          <w:i w:val="0"/>
          <w:sz w:val="18"/>
        </w:rPr>
        <w:t xml:space="preserve">  C（未改）Option C is incorrect because it reflects the wrong authorization/scope; internal audit (the third line) must remain independent and cannot design risk thresholds or set business case ROI targets, which are primary management responsibilities (first and second lines).　【类型：Independent assurance function assigned a management decision】</w:t>
      </w:r>
    </w:p>
    <w:p>
      <w:pPr>
        <w:spacing w:after="60"/>
      </w:pPr>
      <w:r>
        <w:rPr>
          <w:b w:val="0"/>
          <w:i w:val="0"/>
          <w:sz w:val="18"/>
        </w:rPr>
        <w:t xml:space="preserve">  D（已改）D: Units setting their own targets produce inconsistent, non-comparable definitions of value and leave out the enterprise risk view.　【类型：Unit-defined targets instead of standard metrics】</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12. 第一批（试点） · FIRST · D3.2 Business Case, Value Realization &amp; ROI</w:t>
      </w:r>
    </w:p>
    <w:p>
      <w:pPr>
        <w:spacing w:after="60"/>
      </w:pPr>
      <w:r>
        <w:rPr>
          <w:b w:val="0"/>
          <w:i w:val="0"/>
          <w:color w:val="5A5A5A"/>
          <w:sz w:val="17"/>
        </w:rPr>
        <w:t>ID：aaig-pipe-1791943864279-171-tsv4n　难度：Director-Level</w:t>
      </w:r>
    </w:p>
    <w:p>
      <w:pPr>
        <w:spacing w:after="60"/>
      </w:pPr>
      <w:r>
        <w:rPr>
          <w:b w:val="0"/>
          <w:i w:val="0"/>
        </w:rPr>
        <w:t>情境：A multinational financial services enterprise is preparing a multi-year portfolio investment in enterprise generative AI capabilities across retail banking and compliance operations. Executive leadership has mandated that the newly formed AI Steering Committee establish rigorous business case discipline to ensure sustained value realization, strategic alignment, and clear accountability for return on investment.</w:t>
      </w:r>
    </w:p>
    <w:p>
      <w:pPr>
        <w:spacing w:after="60"/>
      </w:pPr>
      <w:r>
        <w:rPr>
          <w:b/>
          <w:i w:val="0"/>
        </w:rPr>
        <w:t>问题：To establish an effective value realization governance framework for this portfolio, what should the enterprise do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that technical delivery teams baseline technical performance metrics including inference throughput, response latency, and compute unit costs across target infrastructure.</w:t>
            </w:r>
          </w:p>
        </w:tc>
        <w:tc>
          <w:tcPr>
            <w:tcW w:type="dxa" w:w="5669"/>
          </w:tcPr>
          <w:p>
            <w:r/>
            <w:r>
              <w:rPr>
                <w:b w:val="0"/>
              </w:rPr>
              <w:t>Mandate that technical delivery teams baseline technical performance metrics including inference throughput, response latency, and compute unit costs across target infrastructure.</w:t>
            </w:r>
          </w:p>
        </w:tc>
        <w:tc>
          <w:tcPr>
            <w:tcW w:type="dxa" w:w="1361"/>
          </w:tcPr>
          <w:p>
            <w:r/>
            <w:r>
              <w:rPr>
                <w:b w:val="0"/>
                <w:color w:val="787878"/>
              </w:rPr>
              <w:t>未改</w:t>
            </w:r>
          </w:p>
        </w:tc>
      </w:tr>
      <w:tr>
        <w:tc>
          <w:tcPr>
            <w:tcW w:type="dxa" w:w="907"/>
          </w:tcPr>
          <w:p>
            <w:r/>
            <w:r>
              <w:rPr>
                <w:b/>
              </w:rPr>
              <w:t>B</w:t>
            </w:r>
          </w:p>
        </w:tc>
        <w:tc>
          <w:tcPr>
            <w:tcW w:type="dxa" w:w="5669"/>
          </w:tcPr>
          <w:p>
            <w:r/>
            <w:r>
              <w:rPr>
                <w:b w:val="0"/>
              </w:rPr>
              <w:t>Deploy continuous post-implementation benefit tracking dashboards and automated ROI telemetry across targeted operational pilot business units.</w:t>
            </w:r>
          </w:p>
        </w:tc>
        <w:tc>
          <w:tcPr>
            <w:tcW w:type="dxa" w:w="5669"/>
            <w:shd w:val="clear" w:color="auto" w:fill="FFF2CC"/>
          </w:tcPr>
          <w:p>
            <w:r/>
            <w:r>
              <w:rPr>
                <w:b/>
              </w:rPr>
              <w:t>Prepare a three-year benefits forecast for each initiative using the sponsors' assumptions and present it to the governance committee.</w:t>
            </w:r>
          </w:p>
        </w:tc>
        <w:tc>
          <w:tcPr>
            <w:tcW w:type="dxa" w:w="1361"/>
          </w:tcPr>
          <w:p>
            <w:r/>
            <w:r>
              <w:rPr>
                <w:b w:val="0"/>
                <w:color w:val="BE5000"/>
              </w:rPr>
              <w:t>✱ 已改</w:t>
            </w:r>
          </w:p>
        </w:tc>
      </w:tr>
      <w:tr>
        <w:tc>
          <w:tcPr>
            <w:tcW w:type="dxa" w:w="907"/>
          </w:tcPr>
          <w:p>
            <w:r/>
            <w:r>
              <w:rPr>
                <w:b/>
              </w:rPr>
              <w:t>C</w:t>
            </w:r>
          </w:p>
        </w:tc>
        <w:tc>
          <w:tcPr>
            <w:tcW w:type="dxa" w:w="5669"/>
          </w:tcPr>
          <w:p>
            <w:r/>
            <w:r>
              <w:rPr>
                <w:b w:val="0"/>
              </w:rPr>
              <w:t>Direct the internal audit department to execute an independent pre-implementation assurance review of proposed financial forecasts prior to preliminary capital allocation.</w:t>
            </w:r>
          </w:p>
        </w:tc>
        <w:tc>
          <w:tcPr>
            <w:tcW w:type="dxa" w:w="5669"/>
            <w:shd w:val="clear" w:color="auto" w:fill="FFF2CC"/>
          </w:tcPr>
          <w:p>
            <w:r/>
            <w:r>
              <w:rPr>
                <w:b/>
              </w:rPr>
              <w:t>Appoint a benefits owner for every initiative and require quarterly benefit reports to the steering committee.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Define enterprise value realization criteria, strategic alignment objectives, and investment gating thresholds in an approved governance charter.</w:t>
            </w:r>
          </w:p>
        </w:tc>
        <w:tc>
          <w:tcPr>
            <w:tcW w:type="dxa" w:w="5669"/>
            <w:shd w:val="clear" w:color="auto" w:fill="FFF2CC"/>
          </w:tcPr>
          <w:p>
            <w:r/>
            <w:r>
              <w:rPr>
                <w:b/>
              </w:rPr>
              <w:t>Define enterprise value criteria, strategic alignment objectives and investment gating thresholds in an approved mandate.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ISACA governance frameworks and ISO/IEC 42001 (Clause 6.2), the foundational initial step in value realization and investment governance is establishing top-down criteria, strategic alignment objectives, and formal gating mechanisms via an enterprise charter. Defining what constitutes value, how it aligns with corporate strategy, and the stage-gate rules for investment approval precedes operational baseline measurements, telemetry deployment, and independent assurance.</w:t>
      </w:r>
    </w:p>
    <w:p>
      <w:pPr>
        <w:spacing w:after="60"/>
      </w:pPr>
      <w:r>
        <w:rPr>
          <w:b/>
          <w:i w:val="0"/>
          <w:sz w:val="18"/>
        </w:rPr>
        <w:t>改写后的错误选项解析与错误类型：</w:t>
      </w:r>
    </w:p>
    <w:p>
      <w:pPr>
        <w:spacing w:after="60"/>
      </w:pPr>
      <w:r>
        <w:rPr>
          <w:b w:val="0"/>
          <w:i w:val="0"/>
          <w:sz w:val="18"/>
        </w:rPr>
        <w:t xml:space="preserve">  A（未改）Option A is incorrect because focusing on low-level infrastructure and technical performance metrics represents a bottom-up technical priority rather than strategic governance alignment for value realization.　【类型：Technical baselines before value criteria】</w:t>
      </w:r>
    </w:p>
    <w:p>
      <w:pPr>
        <w:spacing w:after="60"/>
      </w:pPr>
      <w:r>
        <w:rPr>
          <w:b w:val="0"/>
          <w:i w:val="0"/>
          <w:sz w:val="18"/>
        </w:rPr>
        <w:t xml:space="preserve">  B（已改）B: Forecasts built on sponsors' assumptions rest on untested and inconsistent definitions of value, so the committee has nothing common to compare.　【类型：Forecasts built on undefined value criteria】</w:t>
      </w:r>
    </w:p>
    <w:p>
      <w:pPr>
        <w:spacing w:after="60"/>
      </w:pPr>
      <w:r>
        <w:rPr>
          <w:b w:val="0"/>
          <w:i w:val="0"/>
          <w:sz w:val="18"/>
        </w:rPr>
        <w:t xml:space="preserve">  C（已改）C: Benefit owners and reporting are essential, but they need agreed value criteria and thresholds to report against, which must be defined first.　【类型：Accountability roles before value criteria】</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13. 第二批 · BEST · D2.1 Data Governance &amp; Data Quality for AI</w:t>
      </w:r>
    </w:p>
    <w:p>
      <w:pPr>
        <w:spacing w:after="60"/>
      </w:pPr>
      <w:r>
        <w:rPr>
          <w:b w:val="0"/>
          <w:i w:val="0"/>
          <w:color w:val="5A5A5A"/>
          <w:sz w:val="17"/>
        </w:rPr>
        <w:t>ID：aaig-pipe-1791941151242-25　难度：Director-Level</w:t>
      </w:r>
    </w:p>
    <w:p>
      <w:pPr>
        <w:spacing w:after="60"/>
      </w:pPr>
      <w:r>
        <w:rPr>
          <w:b w:val="0"/>
          <w:i w:val="0"/>
        </w:rPr>
        <w:t>情境：A multinational financial services enterprise is expanding its deployment of high-risk machine learning and generative AI models across multiple decentralized business units. Discrepancies in training data lineage, unvetted third-party data ingestion, and inconsistent quality metrics have resulted in significant model drift and heightened regulatory scrutiny under ISO/IEC 42001 and the EU AI Act. The newly appointed Director of AI Governance must establish an enduring enterprise-wide approach to AI data governance and data quality.</w:t>
      </w:r>
    </w:p>
    <w:p>
      <w:pPr>
        <w:spacing w:after="60"/>
      </w:pPr>
      <w:r>
        <w:rPr>
          <w:b/>
          <w:i w:val="0"/>
        </w:rPr>
        <w:t>问题：Which of the following actions represents the BEST governance approach to resolve these systemic data architecture challenges?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an AI data governance framework defining data provenance, quality thresholds, and domain accountability aligned with risk appetite.</w:t>
            </w:r>
          </w:p>
        </w:tc>
        <w:tc>
          <w:tcPr>
            <w:tcW w:type="dxa" w:w="5669"/>
            <w:shd w:val="clear" w:color="auto" w:fill="FFF2CC"/>
          </w:tcPr>
          <w:p>
            <w:r/>
            <w:r>
              <w:rPr>
                <w:b/>
              </w:rPr>
              <w:t>Set enterprise rules for data origin, quality limits and who is responsible for each domain's data, tied to the firm's risk limits.</w:t>
            </w:r>
          </w:p>
        </w:tc>
        <w:tc>
          <w:tcPr>
            <w:tcW w:type="dxa" w:w="1361"/>
          </w:tcPr>
          <w:p>
            <w:r/>
            <w:r>
              <w:rPr>
                <w:b w:val="0"/>
                <w:color w:val="BE5000"/>
              </w:rPr>
              <w:t>✱ 已改</w:t>
            </w:r>
          </w:p>
        </w:tc>
      </w:tr>
      <w:tr>
        <w:tc>
          <w:tcPr>
            <w:tcW w:type="dxa" w:w="907"/>
          </w:tcPr>
          <w:p>
            <w:r/>
            <w:r>
              <w:rPr>
                <w:b/>
              </w:rPr>
              <w:t>B</w:t>
            </w:r>
          </w:p>
        </w:tc>
        <w:tc>
          <w:tcPr>
            <w:tcW w:type="dxa" w:w="5669"/>
          </w:tcPr>
          <w:p>
            <w:r/>
            <w:r>
              <w:rPr>
                <w:b w:val="0"/>
              </w:rPr>
              <w:t>Mandate the use of automated synthetic data generation pipelines to systematically replace legacy operational datasets exhibiting lineage anomalies.</w:t>
            </w:r>
          </w:p>
        </w:tc>
        <w:tc>
          <w:tcPr>
            <w:tcW w:type="dxa" w:w="5669"/>
            <w:shd w:val="clear" w:color="auto" w:fill="FFF2CC"/>
          </w:tcPr>
          <w:p>
            <w:r/>
            <w:r>
              <w:rPr>
                <w:b/>
              </w:rPr>
              <w:t>Create a central data catalogue listing every dataset used for AI, with its source and review date, and share it with model teams under the data policy.</w:t>
            </w:r>
          </w:p>
        </w:tc>
        <w:tc>
          <w:tcPr>
            <w:tcW w:type="dxa" w:w="1361"/>
          </w:tcPr>
          <w:p>
            <w:r/>
            <w:r>
              <w:rPr>
                <w:b w:val="0"/>
                <w:color w:val="BE5000"/>
              </w:rPr>
              <w:t>✱ 已改</w:t>
            </w:r>
          </w:p>
        </w:tc>
      </w:tr>
      <w:tr>
        <w:tc>
          <w:tcPr>
            <w:tcW w:type="dxa" w:w="907"/>
          </w:tcPr>
          <w:p>
            <w:r/>
            <w:r>
              <w:rPr>
                <w:b/>
              </w:rPr>
              <w:t>C</w:t>
            </w:r>
          </w:p>
        </w:tc>
        <w:tc>
          <w:tcPr>
            <w:tcW w:type="dxa" w:w="5669"/>
          </w:tcPr>
          <w:p>
            <w:r/>
            <w:r>
              <w:rPr>
                <w:b w:val="0"/>
              </w:rPr>
              <w:t>Procure and deploy an enterprise data observability platform across operational pipelines before formally establishing data ownership charters and quality baselines.</w:t>
            </w:r>
          </w:p>
        </w:tc>
        <w:tc>
          <w:tcPr>
            <w:tcW w:type="dxa" w:w="5669"/>
          </w:tcPr>
          <w:p>
            <w:r/>
            <w:r>
              <w:rPr>
                <w:b w:val="0"/>
              </w:rPr>
              <w:t>Procure and deploy an enterprise data observability platform across operational pipelines before formally establishing data ownership charters and quality baselines.</w:t>
            </w:r>
          </w:p>
        </w:tc>
        <w:tc>
          <w:tcPr>
            <w:tcW w:type="dxa" w:w="1361"/>
          </w:tcPr>
          <w:p>
            <w:r/>
            <w:r>
              <w:rPr>
                <w:b w:val="0"/>
                <w:color w:val="787878"/>
              </w:rPr>
              <w:t>未改</w:t>
            </w:r>
          </w:p>
        </w:tc>
      </w:tr>
      <w:tr>
        <w:tc>
          <w:tcPr>
            <w:tcW w:type="dxa" w:w="907"/>
          </w:tcPr>
          <w:p>
            <w:r/>
            <w:r>
              <w:rPr>
                <w:b/>
              </w:rPr>
              <w:t>D</w:t>
            </w:r>
          </w:p>
        </w:tc>
        <w:tc>
          <w:tcPr>
            <w:tcW w:type="dxa" w:w="5669"/>
          </w:tcPr>
          <w:p>
            <w:r/>
            <w:r>
              <w:rPr>
                <w:b w:val="0"/>
              </w:rPr>
              <w:t>Task the internal audit department with setting operational data quality thresholds and monitoring daily feature drift metrics across inference stores.</w:t>
            </w:r>
          </w:p>
        </w:tc>
        <w:tc>
          <w:tcPr>
            <w:tcW w:type="dxa" w:w="5669"/>
            <w:shd w:val="clear" w:color="auto" w:fill="FFF2CC"/>
          </w:tcPr>
          <w:p>
            <w:r/>
            <w:r>
              <w:rPr>
                <w:b/>
              </w:rPr>
              <w:t>Appoint a senior data steward for each business domain to approve third-party datasets before they are ingested.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B.7 - Data for AI systems) and NIST AI RMF (GOVERN 1.2), effective AI data governance requires a formal top-down framework that defines accountability (data stewardship/ownership), end-to-end data provenance, and measurable quality thresholds aligned with the organization's overarching risk appetite and business strategy.</w:t>
      </w:r>
    </w:p>
    <w:p>
      <w:pPr>
        <w:spacing w:after="60"/>
      </w:pPr>
      <w:r>
        <w:rPr>
          <w:b/>
          <w:i w:val="0"/>
          <w:sz w:val="18"/>
        </w:rPr>
        <w:t>改写后的错误选项解析与错误类型：</w:t>
      </w:r>
    </w:p>
    <w:p>
      <w:pPr>
        <w:spacing w:after="60"/>
      </w:pPr>
      <w:r>
        <w:rPr>
          <w:b w:val="0"/>
          <w:i w:val="0"/>
          <w:sz w:val="18"/>
        </w:rPr>
        <w:t xml:space="preserve">  B（已改）B: A catalogue gives visibility, but listing datasets does not set quality thresholds, accountable owners or provenance checks, so the discrepancies would continue.　【类型：Inventory without enforceable standards】</w:t>
      </w:r>
    </w:p>
    <w:p>
      <w:pPr>
        <w:spacing w:after="60"/>
      </w:pPr>
      <w:r>
        <w:rPr>
          <w:b w:val="0"/>
          <w:i w:val="0"/>
          <w:sz w:val="18"/>
        </w:rPr>
        <w:t xml:space="preserve">  C（未改）Option C exhibits wrong sequence/timing by procuring and deploying technical tooling before establishing the foundational policies, data ownership charters, and quality criteria necessary to guide tool configuration.　【类型：Tooling before ownership and quality baselines】</w:t>
      </w:r>
    </w:p>
    <w:p>
      <w:pPr>
        <w:spacing w:after="60"/>
      </w:pPr>
      <w:r>
        <w:rPr>
          <w:b w:val="0"/>
          <w:i w:val="0"/>
          <w:sz w:val="18"/>
        </w:rPr>
        <w:t xml:space="preserve">  D（已改）D: Domain stewards help vet new data, but approval by individuals without common quality thresholds and provenance requirements leaves standards inconsistent across domains.　【类型：Gatekeeping without common standards】</w:t>
      </w:r>
    </w:p>
    <w:p>
      <w:pPr>
        <w:spacing w:after="60"/>
      </w:pPr>
      <w:r>
        <w:rPr>
          <w:b w:val="0"/>
          <w:i w:val="0"/>
          <w:color w:val="5A5A5A"/>
          <w:sz w:val="17"/>
        </w:rPr>
        <w:t>出处（沿用原文，未核验）：NIST AI RMF 1.0 GOVERN 1.2, MAP 2.3 &amp; MEASURE 2.7; EU AI Act Art. 10 (for high-risk systems); ISO/IEC 42001:2023 (verify exact data governance clauses/annexes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14. 第二批 · BEST · D3.1 Buy vs. Build &amp; Third-Party Sourcing Decisions</w:t>
      </w:r>
    </w:p>
    <w:p>
      <w:pPr>
        <w:spacing w:after="60"/>
      </w:pPr>
      <w:r>
        <w:rPr>
          <w:b w:val="0"/>
          <w:i w:val="0"/>
          <w:color w:val="5A5A5A"/>
          <w:sz w:val="17"/>
        </w:rPr>
        <w:t>ID：aaig-pipe-1791941166271-30　难度：Intermediate</w:t>
      </w:r>
    </w:p>
    <w:p>
      <w:pPr>
        <w:spacing w:after="60"/>
      </w:pPr>
      <w:r>
        <w:rPr>
          <w:b w:val="0"/>
          <w:i w:val="0"/>
        </w:rPr>
        <w:t>情境：A multinational financial services firm is deciding whether to procure a third-party commercial generative AI solution or develop a proprietary model internally for automated creditworthiness assessments. The proposed system will directly influence high-impact lending decisions across multiple regulated jurisdictions.</w:t>
      </w:r>
    </w:p>
    <w:p>
      <w:pPr>
        <w:spacing w:after="60"/>
      </w:pPr>
      <w:r>
        <w:rPr>
          <w:b/>
          <w:i w:val="0"/>
        </w:rPr>
        <w:t>问题：From an AI governance perspective, which of the following is the BEST approach to guide this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Evaluate strategic alignment, total cost of ownership, risk appetite, and third-party transparency against governance criteria.</w:t>
            </w:r>
          </w:p>
        </w:tc>
        <w:tc>
          <w:tcPr>
            <w:tcW w:type="dxa" w:w="5669"/>
            <w:shd w:val="clear" w:color="auto" w:fill="FFF2CC"/>
          </w:tcPr>
          <w:p>
            <w:r/>
            <w:r>
              <w:rPr>
                <w:b/>
              </w:rPr>
              <w:t>Compare the options on strategic fit, lifetime cost, risk limits and supplier transparency against agreed criteria.</w:t>
            </w:r>
          </w:p>
        </w:tc>
        <w:tc>
          <w:tcPr>
            <w:tcW w:type="dxa" w:w="1361"/>
          </w:tcPr>
          <w:p>
            <w:r/>
            <w:r>
              <w:rPr>
                <w:b w:val="0"/>
                <w:color w:val="BE5000"/>
              </w:rPr>
              <w:t>✱ 已改</w:t>
            </w:r>
          </w:p>
        </w:tc>
      </w:tr>
      <w:tr>
        <w:tc>
          <w:tcPr>
            <w:tcW w:type="dxa" w:w="907"/>
          </w:tcPr>
          <w:p>
            <w:r/>
            <w:r>
              <w:rPr>
                <w:b/>
              </w:rPr>
              <w:t>B</w:t>
            </w:r>
          </w:p>
        </w:tc>
        <w:tc>
          <w:tcPr>
            <w:tcW w:type="dxa" w:w="5669"/>
          </w:tcPr>
          <w:p>
            <w:r/>
            <w:r>
              <w:rPr>
                <w:b w:val="0"/>
              </w:rPr>
              <w:t>Mandate that internal engineering teams complete a full-scale proof-of-concept prototype before presenting sourcing guidelines to executive leadership.</w:t>
            </w:r>
          </w:p>
        </w:tc>
        <w:tc>
          <w:tcPr>
            <w:tcW w:type="dxa" w:w="5669"/>
          </w:tcPr>
          <w:p>
            <w:r/>
            <w:r>
              <w:rPr>
                <w:b w:val="0"/>
              </w:rPr>
              <w:t>Mandate that internal engineering teams complete a full-scale proof-of-concept prototype before presenting sourcing guidelines to executive leadership.</w:t>
            </w:r>
          </w:p>
        </w:tc>
        <w:tc>
          <w:tcPr>
            <w:tcW w:type="dxa" w:w="1361"/>
          </w:tcPr>
          <w:p>
            <w:r/>
            <w:r>
              <w:rPr>
                <w:b w:val="0"/>
                <w:color w:val="787878"/>
              </w:rPr>
              <w:t>未改</w:t>
            </w:r>
          </w:p>
        </w:tc>
      </w:tr>
      <w:tr>
        <w:tc>
          <w:tcPr>
            <w:tcW w:type="dxa" w:w="907"/>
          </w:tcPr>
          <w:p>
            <w:r/>
            <w:r>
              <w:rPr>
                <w:b/>
              </w:rPr>
              <w:t>C</w:t>
            </w:r>
          </w:p>
        </w:tc>
        <w:tc>
          <w:tcPr>
            <w:tcW w:type="dxa" w:w="5669"/>
          </w:tcPr>
          <w:p>
            <w:r/>
            <w:r>
              <w:rPr>
                <w:b w:val="0"/>
              </w:rPr>
              <w:t>Prioritize benchmarking technical latency, algorithmic accuracy, and operational compute costs against open-source alternatives.</w:t>
            </w:r>
          </w:p>
        </w:tc>
        <w:tc>
          <w:tcPr>
            <w:tcW w:type="dxa" w:w="5669"/>
            <w:shd w:val="clear" w:color="auto" w:fill="FFF2CC"/>
          </w:tcPr>
          <w:p>
            <w:r/>
            <w:r>
              <w:rPr>
                <w:b/>
              </w:rPr>
              <w:t>Ask the procurement team to run a competitive tender and recommend the option with the best price-to-performance ratio.</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first-line product management team to finalize vendor selection and execute risk acceptance for the deployment.</w:t>
            </w:r>
          </w:p>
        </w:tc>
        <w:tc>
          <w:tcPr>
            <w:tcW w:type="dxa" w:w="5669"/>
            <w:shd w:val="clear" w:color="auto" w:fill="FFF2CC"/>
          </w:tcPr>
          <w:p>
            <w:r/>
            <w:r>
              <w:rPr>
                <w:b/>
              </w:rPr>
              <w:t>Obtain an independent legal opinion on the licensing terms of the commercial option and decide on that basis.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6.1 and 8.1, Annex A.7) and NIST AI RMF (GOVERN 1.2 and MAP 1.5), sourcing decisions for AI systems must holistically integrate enterprise strategic alignment, total cost of ownership (including ongoing monitoring and retraining), organizational risk appetite, and third-party supply chain risks such as model opacity and vendor lock-in. A comprehensive governance assessment ensures the sourcing path adheres to oversight, compliance, and enterprise objectives.</w:t>
      </w:r>
    </w:p>
    <w:p>
      <w:pPr>
        <w:spacing w:after="60"/>
      </w:pPr>
      <w:r>
        <w:rPr>
          <w:b/>
          <w:i w:val="0"/>
          <w:sz w:val="18"/>
        </w:rPr>
        <w:t>改写后的错误选项解析与错误类型：</w:t>
      </w:r>
    </w:p>
    <w:p>
      <w:pPr>
        <w:spacing w:after="60"/>
      </w:pPr>
      <w:r>
        <w:rPr>
          <w:b w:val="0"/>
          <w:i w:val="0"/>
          <w:sz w:val="18"/>
        </w:rPr>
        <w:t xml:space="preserve">  B（未改）Option B is incorrect because it reflects wrong sequence/timing; initiating full-scale technical prototyping prior to establishing governance frameworks and executive steering approval consumes resources prematurely.　【类型：Prototype built before sourcing guidelines exist】</w:t>
      </w:r>
    </w:p>
    <w:p>
      <w:pPr>
        <w:spacing w:after="60"/>
      </w:pPr>
      <w:r>
        <w:rPr>
          <w:b w:val="0"/>
          <w:i w:val="0"/>
          <w:sz w:val="18"/>
        </w:rPr>
        <w:t xml:space="preserve">  C（已改）C: A tender is a sound procurement step, but ranking on price and performance leaves out regulatory exposure, supply chain transparency and risk appetite for a high-impact lending use.　【类型：Procurement efficiency treated as the governance test】</w:t>
      </w:r>
    </w:p>
    <w:p>
      <w:pPr>
        <w:spacing w:after="60"/>
      </w:pPr>
      <w:r>
        <w:rPr>
          <w:b w:val="0"/>
          <w:i w:val="0"/>
          <w:sz w:val="18"/>
        </w:rPr>
        <w:t xml:space="preserve">  D（已改）D: Licence terms are one important input, but a legal opinion does not cover strategic fit, lifetime cost or the firm's risk appetite for credit decisions.　【类型：Single expert opinion on a multi-factor decision】</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15. 第二批 · FIRST · D1.2 Strategic Alignment &amp; Business Objectives</w:t>
      </w:r>
    </w:p>
    <w:p>
      <w:pPr>
        <w:spacing w:after="60"/>
      </w:pPr>
      <w:r>
        <w:rPr>
          <w:b w:val="0"/>
          <w:i w:val="0"/>
          <w:color w:val="5A5A5A"/>
          <w:sz w:val="17"/>
        </w:rPr>
        <w:t>ID：aaig-pipe-1791941200295-36　难度：Intermediate</w:t>
      </w:r>
    </w:p>
    <w:p>
      <w:pPr>
        <w:spacing w:after="60"/>
      </w:pPr>
      <w:r>
        <w:rPr>
          <w:b w:val="0"/>
          <w:i w:val="0"/>
        </w:rPr>
        <w:t>情境：A multinational retail banking organization plans to deploy artificial intelligence solutions across its credit underwriting, fraud detection, and customer advisory divisions. Executive leadership aims to ensure that these upcoming AI initiatives directly align with the bank's business strategy, stakeholder values, and risk posture in accordance with industry governance frameworks.</w:t>
      </w:r>
    </w:p>
    <w:p>
      <w:pPr>
        <w:spacing w:after="60"/>
      </w:pPr>
      <w:r>
        <w:rPr>
          <w:b/>
          <w:i w:val="0"/>
        </w:rPr>
        <w:t>问题：What should the organization do FIRST to ensure AI initiatives strategically align with enterprise business objectives?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an enterprise AI governance charter defining strategic intent, accountability, and risk appetite boundaries.</w:t>
            </w:r>
          </w:p>
        </w:tc>
        <w:tc>
          <w:tcPr>
            <w:tcW w:type="dxa" w:w="5669"/>
            <w:shd w:val="clear" w:color="auto" w:fill="FFF2CC"/>
          </w:tcPr>
          <w:p>
            <w:r/>
            <w:r>
              <w:rPr>
                <w:b/>
              </w:rPr>
              <w:t>Set out a board-approved statement of strategic intent, accountability and the limits of acceptable AI risk.</w:t>
            </w:r>
          </w:p>
        </w:tc>
        <w:tc>
          <w:tcPr>
            <w:tcW w:type="dxa" w:w="1361"/>
          </w:tcPr>
          <w:p>
            <w:r/>
            <w:r>
              <w:rPr>
                <w:b w:val="0"/>
                <w:color w:val="BE5000"/>
              </w:rPr>
              <w:t>✱ 已改</w:t>
            </w:r>
          </w:p>
        </w:tc>
      </w:tr>
      <w:tr>
        <w:tc>
          <w:tcPr>
            <w:tcW w:type="dxa" w:w="907"/>
          </w:tcPr>
          <w:p>
            <w:r/>
            <w:r>
              <w:rPr>
                <w:b/>
              </w:rPr>
              <w:t>B</w:t>
            </w:r>
          </w:p>
        </w:tc>
        <w:tc>
          <w:tcPr>
            <w:tcW w:type="dxa" w:w="5669"/>
          </w:tcPr>
          <w:p>
            <w:r/>
            <w:r>
              <w:rPr>
                <w:b w:val="0"/>
              </w:rPr>
              <w:t>Deploy an automated model performance monitoring platform to measure predictive accuracy against operational benchmarks across business units.</w:t>
            </w:r>
          </w:p>
        </w:tc>
        <w:tc>
          <w:tcPr>
            <w:tcW w:type="dxa" w:w="5669"/>
            <w:shd w:val="clear" w:color="auto" w:fill="FFF2CC"/>
          </w:tcPr>
          <w:p>
            <w:r/>
            <w:r>
              <w:rPr>
                <w:b/>
              </w:rPr>
              <w:t>Ask each division to submit its AI project plans and rank them by expected financial return for the board to review.</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conformity assessments and algorithmic impact assessments for all prospective high-risk machine learning models.</w:t>
            </w:r>
          </w:p>
        </w:tc>
        <w:tc>
          <w:tcPr>
            <w:tcW w:type="dxa" w:w="5669"/>
          </w:tcPr>
          <w:p>
            <w:r/>
            <w:r>
              <w:rPr>
                <w:b w:val="0"/>
              </w:rPr>
              <w:t>Conduct comprehensive conformity assessments and algorithmic impact assessments for all prospective high-risk machine learning models.</w:t>
            </w:r>
          </w:p>
        </w:tc>
        <w:tc>
          <w:tcPr>
            <w:tcW w:type="dxa" w:w="1361"/>
          </w:tcPr>
          <w:p>
            <w:r/>
            <w:r>
              <w:rPr>
                <w:b w:val="0"/>
                <w:color w:val="787878"/>
              </w:rPr>
              <w:t>未改</w:t>
            </w:r>
          </w:p>
        </w:tc>
      </w:tr>
      <w:tr>
        <w:tc>
          <w:tcPr>
            <w:tcW w:type="dxa" w:w="907"/>
          </w:tcPr>
          <w:p>
            <w:r/>
            <w:r>
              <w:rPr>
                <w:b/>
              </w:rPr>
              <w:t>D</w:t>
            </w:r>
          </w:p>
        </w:tc>
        <w:tc>
          <w:tcPr>
            <w:tcW w:type="dxa" w:w="5669"/>
          </w:tcPr>
          <w:p>
            <w:r/>
            <w:r>
              <w:rPr>
                <w:b w:val="0"/>
              </w:rPr>
              <w:t>Authorize business unit leads to independently formulate local risk tolerances and strategic use cases within their departmental roadmaps.</w:t>
            </w:r>
          </w:p>
        </w:tc>
        <w:tc>
          <w:tcPr>
            <w:tcW w:type="dxa" w:w="5669"/>
            <w:shd w:val="clear" w:color="auto" w:fill="FFF2CC"/>
          </w:tcPr>
          <w:p>
            <w:r/>
            <w:r>
              <w:rPr>
                <w:b/>
              </w:rPr>
              <w:t>Commission a stakeholder survey on customers' and employees' expectations of AI and use the results to draft the bank's AI policy.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ISACA AI governance principles and standards such as ISO/IEC 42001 (Clause 5.1) and NIST AI RMF (GOVERN 1.1, 1.2), the foundational initial step in AI enterprise governance is establishing a formal top-down governance charter. This charter sets the enterprise strategic objectives, establishes organizational decision rights and accountability, and defines risk appetite boundaries before operationalizing or acquiring AI systems.</w:t>
      </w:r>
    </w:p>
    <w:p>
      <w:pPr>
        <w:spacing w:after="60"/>
      </w:pPr>
      <w:r>
        <w:rPr>
          <w:b/>
          <w:i w:val="0"/>
          <w:sz w:val="18"/>
        </w:rPr>
        <w:t>改写后的错误选项解析与错误类型：</w:t>
      </w:r>
    </w:p>
    <w:p>
      <w:pPr>
        <w:spacing w:after="60"/>
      </w:pPr>
      <w:r>
        <w:rPr>
          <w:b w:val="0"/>
          <w:i w:val="0"/>
          <w:sz w:val="18"/>
        </w:rPr>
        <w:t xml:space="preserve">  B（已改）B: Collecting plans is useful, but ranking them by return before strategic intent and risk boundaries exist lets financial pull define alignment.　【类型：Project ranking before strategic intent】</w:t>
      </w:r>
    </w:p>
    <w:p>
      <w:pPr>
        <w:spacing w:after="60"/>
      </w:pPr>
      <w:r>
        <w:rPr>
          <w:b w:val="0"/>
          <w:i w:val="0"/>
          <w:sz w:val="18"/>
        </w:rPr>
        <w:t xml:space="preserve">  C（未改）Performing conformity and impact assessments is a mandatory operational compliance action under regulatory frameworks such as the EU AI Act, but it is premature before establishing overarching enterprise policies and strategic intent.　【类型：Operational assessment before strategic intent】</w:t>
      </w:r>
    </w:p>
    <w:p>
      <w:pPr>
        <w:spacing w:after="60"/>
      </w:pPr>
      <w:r>
        <w:rPr>
          <w:b w:val="0"/>
          <w:i w:val="0"/>
          <w:sz w:val="18"/>
        </w:rPr>
        <w:t xml:space="preserve">  D（已改）D: Stakeholder input is valuable for shaping values, but drafting policy from a survey before leadership sets strategic intent and accountability leaves the policy without a mandate.　【类型：Stakeholder input before leadership mandate】</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16. 第二批 · BEST · D1.1 AI Governance Structure &amp; Board Oversight</w:t>
      </w:r>
    </w:p>
    <w:p>
      <w:pPr>
        <w:spacing w:after="60"/>
      </w:pPr>
      <w:r>
        <w:rPr>
          <w:b w:val="0"/>
          <w:i w:val="0"/>
          <w:color w:val="5A5A5A"/>
          <w:sz w:val="17"/>
        </w:rPr>
        <w:t>ID：aaig-pipe-1791941406549-0　难度：Intermediate</w:t>
      </w:r>
    </w:p>
    <w:p>
      <w:pPr>
        <w:spacing w:after="60"/>
      </w:pPr>
      <w:r>
        <w:rPr>
          <w:b w:val="0"/>
          <w:i w:val="0"/>
        </w:rPr>
        <w:t>情境：A multinational financial services enterprise is planning to deploy artificial intelligence systems across customer-facing banking channels and internal risk management operations. The board of directors requires an effective governance mechanism to ensure AI initiatives strictly align with business strategy, risk appetite, and regulatory expectations prior to widespread rollout.</w:t>
      </w:r>
    </w:p>
    <w:p>
      <w:pPr>
        <w:spacing w:after="60"/>
      </w:pPr>
      <w:r>
        <w:rPr>
          <w:b/>
          <w:i w:val="0"/>
        </w:rPr>
        <w:t>问题：Which of the following actions BEST establishes comprehensive board oversight and accountability for enterprise AI governance?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Delegate final approval of enterprise AI acceptable-use policies and ethical risk boundaries directly to business-unit data science managers.</w:t>
            </w:r>
          </w:p>
        </w:tc>
        <w:tc>
          <w:tcPr>
            <w:tcW w:type="dxa" w:w="5669"/>
            <w:shd w:val="clear" w:color="auto" w:fill="FFF2CC"/>
          </w:tcPr>
          <w:p>
            <w:r/>
            <w:r>
              <w:rPr>
                <w:b/>
              </w:rPr>
              <w:t>Require the chief executive to certify annually that the firm's AI use complies with law and with the board's risk appetite.</w:t>
            </w:r>
          </w:p>
        </w:tc>
        <w:tc>
          <w:tcPr>
            <w:tcW w:type="dxa" w:w="1361"/>
          </w:tcPr>
          <w:p>
            <w:r/>
            <w:r>
              <w:rPr>
                <w:b w:val="0"/>
                <w:color w:val="BE5000"/>
              </w:rPr>
              <w:t>✱ 已改</w:t>
            </w:r>
          </w:p>
        </w:tc>
      </w:tr>
      <w:tr>
        <w:tc>
          <w:tcPr>
            <w:tcW w:type="dxa" w:w="907"/>
          </w:tcPr>
          <w:p>
            <w:r/>
            <w:r>
              <w:rPr>
                <w:b/>
              </w:rPr>
              <w:t>B</w:t>
            </w:r>
          </w:p>
        </w:tc>
        <w:tc>
          <w:tcPr>
            <w:tcW w:type="dxa" w:w="5669"/>
          </w:tcPr>
          <w:p>
            <w:r/>
            <w:r>
              <w:rPr>
                <w:b w:val="0"/>
              </w:rPr>
              <w:t>Deploy an automated model performance monitoring platform across development pipelines to continuously detect algorithmic drift and bias.</w:t>
            </w:r>
          </w:p>
        </w:tc>
        <w:tc>
          <w:tcPr>
            <w:tcW w:type="dxa" w:w="5669"/>
            <w:shd w:val="clear" w:color="auto" w:fill="FFF2CC"/>
          </w:tcPr>
          <w:p>
            <w:r/>
            <w:r>
              <w:rPr>
                <w:b/>
              </w:rPr>
              <w:t>Add AI as a standing item on the board agenda and ask management to present AI incidents and metrics at every meeting.</w:t>
            </w:r>
          </w:p>
        </w:tc>
        <w:tc>
          <w:tcPr>
            <w:tcW w:type="dxa" w:w="1361"/>
          </w:tcPr>
          <w:p>
            <w:r/>
            <w:r>
              <w:rPr>
                <w:b w:val="0"/>
                <w:color w:val="BE5000"/>
              </w:rPr>
              <w:t>✱ 已改</w:t>
            </w:r>
          </w:p>
        </w:tc>
      </w:tr>
      <w:tr>
        <w:tc>
          <w:tcPr>
            <w:tcW w:type="dxa" w:w="907"/>
          </w:tcPr>
          <w:p>
            <w:r/>
            <w:r>
              <w:rPr>
                <w:b/>
              </w:rPr>
              <w:t>C</w:t>
            </w:r>
          </w:p>
        </w:tc>
        <w:tc>
          <w:tcPr>
            <w:tcW w:type="dxa" w:w="5669"/>
          </w:tcPr>
          <w:p>
            <w:r/>
            <w:r>
              <w:rPr>
                <w:b w:val="0"/>
              </w:rPr>
              <w:t>Mandate third-party conformity assessments across all anticipated use cases prior to defining organizational AI risk appetite and corporate objectives.</w:t>
            </w:r>
          </w:p>
        </w:tc>
        <w:tc>
          <w:tcPr>
            <w:tcW w:type="dxa" w:w="5669"/>
          </w:tcPr>
          <w:p>
            <w:r/>
            <w:r>
              <w:rPr>
                <w:b w:val="0"/>
              </w:rPr>
              <w:t>Mandate third-party conformity assessments across all anticipated use cases prior to defining organizational AI risk appetite and corporate objectives.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Establish a cross-functional AI steering committee chartered by the board to define accountability, policy, and risk appetite alignment.</w:t>
            </w:r>
          </w:p>
        </w:tc>
        <w:tc>
          <w:tcPr>
            <w:tcW w:type="dxa" w:w="5669"/>
            <w:shd w:val="clear" w:color="auto" w:fill="FFF2CC"/>
          </w:tcPr>
          <w:p>
            <w:r/>
            <w:r>
              <w:rPr>
                <w:b/>
              </w:rPr>
              <w:t>Establish a cross-functional AI committee mandated by the board to define accountability, policy and the limits of acceptable risk.</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5.1 and 5.3) and NIST AI RMF (GOVERN 1.1 and 1.2), effective AI governance requires leadership commitment, clear organizational roles, and top-down oversight. Chartering a cross-functional AI steering committee directly from the board ensures that accountability, policy frameworks, and risk appetite alignment are established across business, legal, compliance, and technical domains before deployment.</w:t>
      </w:r>
    </w:p>
    <w:p>
      <w:pPr>
        <w:spacing w:after="60"/>
      </w:pPr>
      <w:r>
        <w:rPr>
          <w:b/>
          <w:i w:val="0"/>
          <w:sz w:val="18"/>
        </w:rPr>
        <w:t>改写后的错误选项解析与错误类型：</w:t>
      </w:r>
    </w:p>
    <w:p>
      <w:pPr>
        <w:spacing w:after="60"/>
      </w:pPr>
      <w:r>
        <w:rPr>
          <w:b w:val="0"/>
          <w:i w:val="0"/>
          <w:sz w:val="18"/>
        </w:rPr>
        <w:t xml:space="preserve">  A（已改）A: Executive certification is a useful assurance step, but it does not create the structure, roles and decision rights through which the board directs and oversees AI day to day.　【类型：Annual certification mistaken for ongoing oversight】</w:t>
      </w:r>
    </w:p>
    <w:p>
      <w:pPr>
        <w:spacing w:after="60"/>
      </w:pPr>
      <w:r>
        <w:rPr>
          <w:b w:val="0"/>
          <w:i w:val="0"/>
          <w:sz w:val="18"/>
        </w:rPr>
        <w:t xml:space="preserve">  B（已改）B: Regular reporting supports oversight, but without a body holding delegated authority and clear accountability the board only receives information and cannot direct the program.　【类型：Reporting cadence without delegated authority】</w:t>
      </w:r>
    </w:p>
    <w:p>
      <w:pPr>
        <w:spacing w:after="60"/>
      </w:pPr>
      <w:r>
        <w:rPr>
          <w:b w:val="0"/>
          <w:i w:val="0"/>
          <w:sz w:val="18"/>
        </w:rPr>
        <w:t xml:space="preserve">  C（未改）Option C represents an incorrect operational sequence; formal conformity assessments and technical verifications cannot be meaningfully conducted before organizational risk appetite, governance criteria, and strategic objectives are defined.　【类型：Third-party assessment before risk appetite and objectives】</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17. 第二批 · FIRST · D2.2 Enterprise AI Asset Inventory &amp; Model Cards</w:t>
      </w:r>
    </w:p>
    <w:p>
      <w:pPr>
        <w:spacing w:after="60"/>
      </w:pPr>
      <w:r>
        <w:rPr>
          <w:b w:val="0"/>
          <w:i w:val="0"/>
          <w:color w:val="5A5A5A"/>
          <w:sz w:val="17"/>
        </w:rPr>
        <w:t>ID：aaig-pipe-1791941406550-1　难度：Director-Level</w:t>
      </w:r>
    </w:p>
    <w:p>
      <w:pPr>
        <w:spacing w:after="60"/>
      </w:pPr>
      <w:r>
        <w:rPr>
          <w:b w:val="0"/>
          <w:i w:val="0"/>
        </w:rPr>
        <w:t>情境：A multinational financial services institution is formalizing its enterprise AI asset inventory and model card framework to align with ISO/IEC 42001 and NIST AI RMF MAP functions across highly decentralized business units. The newly appointed Director of AI Governance discovers that business units maintain disparate, siloed spreadsheets tracking models with inconsistent risk definitions and missing lineage metadata. The enterprise risk committee mandates a unified AI registry to support downstream conformity assessments and regulatory reporting.</w:t>
      </w:r>
    </w:p>
    <w:p>
      <w:pPr>
        <w:spacing w:after="60"/>
      </w:pPr>
      <w:r>
        <w:rPr>
          <w:b/>
          <w:i w:val="0"/>
        </w:rPr>
        <w:t>问题：What should the Director of AI Governance do FIRST to establish this enterprise AI asset inventory?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an enterprise MLOps metadata cataloging platform to automatically scan code repositories and model registries for untracked algorithms.</w:t>
            </w:r>
          </w:p>
        </w:tc>
        <w:tc>
          <w:tcPr>
            <w:tcW w:type="dxa" w:w="5669"/>
            <w:shd w:val="clear" w:color="auto" w:fill="FFF2CC"/>
          </w:tcPr>
          <w:p>
            <w:r/>
            <w:r>
              <w:rPr>
                <w:b/>
              </w:rPr>
              <w:t>Ask each business unit to submit its current spreadsheet of AI assets so that the central team can merge them into one register.</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the AI asset taxonomy, risk classification tiers, and mandatory metadata schema approved by the governance committee.</w:t>
            </w:r>
          </w:p>
        </w:tc>
        <w:tc>
          <w:tcPr>
            <w:tcW w:type="dxa" w:w="5669"/>
            <w:shd w:val="clear" w:color="auto" w:fill="FFF2CC"/>
          </w:tcPr>
          <w:p>
            <w:r/>
            <w:r>
              <w:rPr>
                <w:b/>
              </w:rPr>
              <w:t>Agree the AI asset taxonomy, risk tiers and mandatory metadata fields with the committee, and publish them to all business units.</w:t>
            </w:r>
          </w:p>
        </w:tc>
        <w:tc>
          <w:tcPr>
            <w:tcW w:type="dxa" w:w="1361"/>
          </w:tcPr>
          <w:p>
            <w:r/>
            <w:r>
              <w:rPr>
                <w:b w:val="0"/>
                <w:color w:val="BE5000"/>
              </w:rPr>
              <w:t>✱ 已改</w:t>
            </w:r>
          </w:p>
        </w:tc>
      </w:tr>
      <w:tr>
        <w:tc>
          <w:tcPr>
            <w:tcW w:type="dxa" w:w="907"/>
          </w:tcPr>
          <w:p>
            <w:r/>
            <w:r>
              <w:rPr>
                <w:b/>
              </w:rPr>
              <w:t>C</w:t>
            </w:r>
          </w:p>
        </w:tc>
        <w:tc>
          <w:tcPr>
            <w:tcW w:type="dxa" w:w="5669"/>
          </w:tcPr>
          <w:p>
            <w:r/>
            <w:r>
              <w:rPr>
                <w:b w:val="0"/>
              </w:rPr>
              <w:t>Mandate that decentralized data science teams immediately generate standardized model cards for all algorithms currently operating in production.</w:t>
            </w:r>
          </w:p>
        </w:tc>
        <w:tc>
          <w:tcPr>
            <w:tcW w:type="dxa" w:w="5669"/>
          </w:tcPr>
          <w:p>
            <w:r/>
            <w:r>
              <w:rPr>
                <w:b w:val="0"/>
              </w:rPr>
              <w:t>Mandate that decentralized data science teams immediately generate standardized model cards for all algorithms currently operating in production.</w:t>
            </w:r>
          </w:p>
        </w:tc>
        <w:tc>
          <w:tcPr>
            <w:tcW w:type="dxa" w:w="1361"/>
          </w:tcPr>
          <w:p>
            <w:r/>
            <w:r>
              <w:rPr>
                <w:b w:val="0"/>
                <w:color w:val="787878"/>
              </w:rPr>
              <w:t>未改</w:t>
            </w:r>
          </w:p>
        </w:tc>
      </w:tr>
      <w:tr>
        <w:tc>
          <w:tcPr>
            <w:tcW w:type="dxa" w:w="907"/>
          </w:tcPr>
          <w:p>
            <w:r/>
            <w:r>
              <w:rPr>
                <w:b/>
              </w:rPr>
              <w:t>D</w:t>
            </w:r>
          </w:p>
        </w:tc>
        <w:tc>
          <w:tcPr>
            <w:tcW w:type="dxa" w:w="5669"/>
          </w:tcPr>
          <w:p>
            <w:r/>
            <w:r>
              <w:rPr>
                <w:b w:val="0"/>
              </w:rPr>
              <w:t>Direct the Internal Audit function to conduct an independent discovery review across all operating units to catalog undocumented AI assets.</w:t>
            </w:r>
          </w:p>
        </w:tc>
        <w:tc>
          <w:tcPr>
            <w:tcW w:type="dxa" w:w="5669"/>
            <w:shd w:val="clear" w:color="auto" w:fill="FFF2CC"/>
          </w:tcPr>
          <w:p>
            <w:r/>
            <w:r>
              <w:rPr>
                <w:b/>
              </w:rPr>
              <w:t>Appoint an AI asset lead in each business unit who will maintain the unit's records and answer central queries.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and NIST AI RMF (GOVERN 1.1, MAP 1.1), establishing governance precedes technical tooling or operational deployment. Before an inventory can be populated or automated, the organization must define foundational governance structures: what qualifies as an AI asset (taxonomy), how assets are categorized by criticality/impact (risk tiering), and the minimum required documentation attributes (metadata schema/model card specification), all authorized through formal governance oversight.</w:t>
      </w:r>
    </w:p>
    <w:p>
      <w:pPr>
        <w:spacing w:after="60"/>
      </w:pPr>
      <w:r>
        <w:rPr>
          <w:b/>
          <w:i w:val="0"/>
          <w:sz w:val="18"/>
        </w:rPr>
        <w:t>改写后的错误选项解析与错误类型：</w:t>
      </w:r>
    </w:p>
    <w:p>
      <w:pPr>
        <w:spacing w:after="60"/>
      </w:pPr>
      <w:r>
        <w:rPr>
          <w:b w:val="0"/>
          <w:i w:val="0"/>
          <w:sz w:val="18"/>
        </w:rPr>
        <w:t xml:space="preserve">  A（已改）A: Merging spreadsheets consolidates the inconsistency, because units define and describe AI assets differently, so the combined register cannot be classified or compared.　【类型：Consolidation before common definitions】</w:t>
      </w:r>
    </w:p>
    <w:p>
      <w:pPr>
        <w:spacing w:after="60"/>
      </w:pPr>
      <w:r>
        <w:rPr>
          <w:b w:val="0"/>
          <w:i w:val="0"/>
          <w:sz w:val="18"/>
        </w:rPr>
        <w:t xml:space="preserve">  C（未改）Option C represents wrong sequence/timing: requiring teams to complete model cards before the enterprise has established standard metadata schemas, risk tiering, and intake procedures creates conflicting, unstandardized operational overhead.　【类型：Model cards before the taxonomy and templates】</w:t>
      </w:r>
    </w:p>
    <w:p>
      <w:pPr>
        <w:spacing w:after="60"/>
      </w:pPr>
      <w:r>
        <w:rPr>
          <w:b w:val="0"/>
          <w:i w:val="0"/>
          <w:sz w:val="18"/>
        </w:rPr>
        <w:t xml:space="preserve">  D（已改）D: Local leads give named contacts, but without a shared taxonomy and metadata schema each lead will keep records in a different way.　【类型：Local roles before shared standards】</w:t>
      </w:r>
    </w:p>
    <w:p>
      <w:pPr>
        <w:spacing w:after="60"/>
      </w:pPr>
      <w:r>
        <w:rPr>
          <w:b w:val="0"/>
          <w:i w:val="0"/>
          <w:color w:val="5A5A5A"/>
          <w:sz w:val="17"/>
        </w:rPr>
        <w:t>出处（沿用原文，未核验）：NIST AI RMF 1.0 GOVERN 1.2, GOVERN 1.6 &amp; MAP 1.1; Mitchell et al. (arXiv:1810.03993); ISO/IEC 42001:2023 (verify exact inventory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18. 第二批 · BEST · D2.1 Data Governance &amp; Data Quality for AI</w:t>
      </w:r>
    </w:p>
    <w:p>
      <w:pPr>
        <w:spacing w:after="60"/>
      </w:pPr>
      <w:r>
        <w:rPr>
          <w:b w:val="0"/>
          <w:i w:val="0"/>
          <w:color w:val="5A5A5A"/>
          <w:sz w:val="17"/>
        </w:rPr>
        <w:t>ID：aaig-pipe-1791941424799-5　难度：Director-Level</w:t>
      </w:r>
    </w:p>
    <w:p>
      <w:pPr>
        <w:spacing w:after="60"/>
      </w:pPr>
      <w:r>
        <w:rPr>
          <w:b w:val="0"/>
          <w:i w:val="0"/>
        </w:rPr>
        <w:t>情境：A multinational financial services firm is scaling generative AI initiatives and plans to ingest diverse external corpora to pre-train and fine-tune domain-specific foundation models. The Board of Directors has established a low risk appetite regarding intellectual property contamination, bias amplification, and inaccurate data lineage, yet multiple business units continue to procure disparate third-party datasets without centralized vetting.</w:t>
      </w:r>
    </w:p>
    <w:p>
      <w:pPr>
        <w:spacing w:after="60"/>
      </w:pPr>
      <w:r>
        <w:rPr>
          <w:b/>
          <w:i w:val="0"/>
        </w:rPr>
        <w:t>问题：Which of the following is the BEST action for the AI Steering Committee to establish comprehensive data quality and governance oversight across the enterprise?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enterprise-wide automated synthetic data generation tools to replace external training corpora across all ongoing model development streams.</w:t>
            </w:r>
          </w:p>
        </w:tc>
        <w:tc>
          <w:tcPr>
            <w:tcW w:type="dxa" w:w="5669"/>
            <w:shd w:val="clear" w:color="auto" w:fill="FFF2CC"/>
          </w:tcPr>
          <w:p>
            <w:r/>
            <w:r>
              <w:rPr>
                <w:b/>
              </w:rPr>
              <w:t>Create an approved-sources list of external datasets and require teams to choose only from it, reviewing the list each year.</w:t>
            </w:r>
          </w:p>
        </w:tc>
        <w:tc>
          <w:tcPr>
            <w:tcW w:type="dxa" w:w="1361"/>
          </w:tcPr>
          <w:p>
            <w:r/>
            <w:r>
              <w:rPr>
                <w:b w:val="0"/>
                <w:color w:val="BE5000"/>
              </w:rPr>
              <w:t>✱ 已改</w:t>
            </w:r>
          </w:p>
        </w:tc>
      </w:tr>
      <w:tr>
        <w:tc>
          <w:tcPr>
            <w:tcW w:type="dxa" w:w="907"/>
          </w:tcPr>
          <w:p>
            <w:r/>
            <w:r>
              <w:rPr>
                <w:b/>
              </w:rPr>
              <w:t>B</w:t>
            </w:r>
          </w:p>
        </w:tc>
        <w:tc>
          <w:tcPr>
            <w:tcW w:type="dxa" w:w="5669"/>
          </w:tcPr>
          <w:p>
            <w:r/>
            <w:r>
              <w:rPr>
                <w:b w:val="0"/>
              </w:rPr>
              <w:t>Mandate that decentralized data science teams perform manual deduplication and toxic content scoring on all unvetted datasets immediately.</w:t>
            </w:r>
          </w:p>
        </w:tc>
        <w:tc>
          <w:tcPr>
            <w:tcW w:type="dxa" w:w="5669"/>
          </w:tcPr>
          <w:p>
            <w:r/>
            <w:r>
              <w:rPr>
                <w:b w:val="0"/>
              </w:rPr>
              <w:t>Mandate that decentralized data science teams perform manual deduplication and toxic content scoring on all unvetted datasets immediately.</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Formalize an enterprise data governance policy defining provenance, consent, and bias verification criteria tied to risk thresholds.</w:t>
            </w:r>
          </w:p>
        </w:tc>
        <w:tc>
          <w:tcPr>
            <w:tcW w:type="dxa" w:w="5669"/>
            <w:shd w:val="clear" w:color="auto" w:fill="FFF2CC"/>
          </w:tcPr>
          <w:p>
            <w:r/>
            <w:r>
              <w:rPr>
                <w:b/>
              </w:rPr>
              <w:t>Set an enterprise standard on data provenance, consent and bias checks, with thresholds linked to the board's risk limits.</w:t>
            </w:r>
          </w:p>
        </w:tc>
        <w:tc>
          <w:tcPr>
            <w:tcW w:type="dxa" w:w="1361"/>
          </w:tcPr>
          <w:p>
            <w:r/>
            <w:r>
              <w:rPr>
                <w:b w:val="0"/>
                <w:color w:val="BE5000"/>
              </w:rPr>
              <w:t>✱ 已改</w:t>
            </w:r>
          </w:p>
        </w:tc>
      </w:tr>
      <w:tr>
        <w:tc>
          <w:tcPr>
            <w:tcW w:type="dxa" w:w="907"/>
          </w:tcPr>
          <w:p>
            <w:r/>
            <w:r>
              <w:rPr>
                <w:b/>
              </w:rPr>
              <w:t>D</w:t>
            </w:r>
          </w:p>
        </w:tc>
        <w:tc>
          <w:tcPr>
            <w:tcW w:type="dxa" w:w="5669"/>
          </w:tcPr>
          <w:p>
            <w:r/>
            <w:r>
              <w:rPr>
                <w:b w:val="0"/>
              </w:rPr>
              <w:t>Empower first-line model developers to independently approve external training datasets based on project-specific commercial delivery deadlines.</w:t>
            </w:r>
          </w:p>
        </w:tc>
        <w:tc>
          <w:tcPr>
            <w:tcW w:type="dxa" w:w="5669"/>
            <w:shd w:val="clear" w:color="auto" w:fill="FFF2CC"/>
          </w:tcPr>
          <w:p>
            <w:r/>
            <w:r>
              <w:rPr>
                <w:b/>
              </w:rPr>
              <w:t>Ask the legal department to review the licence terms of each external dataset before the model teams may use it.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8.2 Data for AI systems) and NIST AI RMF (GOVERN 1.2 and MAP 2.1), effective AI governance requires establishing top-down policies and standardized verification criteria (provenance, copyright/consent, quality, bias) aligned with organizational risk appetite before technical deployment or model scaling occurs. Formalizing the policy creates the necessary institutional mandate, accountability, and baseline controls across all business units.</w:t>
      </w:r>
    </w:p>
    <w:p>
      <w:pPr>
        <w:spacing w:after="60"/>
      </w:pPr>
      <w:r>
        <w:rPr>
          <w:b/>
          <w:i w:val="0"/>
          <w:sz w:val="18"/>
        </w:rPr>
        <w:t>改写后的错误选项解析与错误类型：</w:t>
      </w:r>
    </w:p>
    <w:p>
      <w:pPr>
        <w:spacing w:after="60"/>
      </w:pPr>
      <w:r>
        <w:rPr>
          <w:b w:val="0"/>
          <w:i w:val="0"/>
          <w:sz w:val="18"/>
        </w:rPr>
        <w:t xml:space="preserve">  A（已改）A: A source list helps control ingestion, but without criteria for provenance, consent and bias verification the list has no basis for including or excluding sources.　【类型：Source list without verification criteria】</w:t>
      </w:r>
    </w:p>
    <w:p>
      <w:pPr>
        <w:spacing w:after="60"/>
      </w:pPr>
      <w:r>
        <w:rPr>
          <w:b w:val="0"/>
          <w:i w:val="0"/>
          <w:sz w:val="18"/>
        </w:rPr>
        <w:t xml:space="preserve">  B（未改）Mandating immediate manual remediation by decentralized teams represents an ad-hoc operational intervention (wrong sequence/timing) executed prior to establishing clear enterprise-wide quality benchmarks and policies.　【类型：Manual clean-up of data instead of enterprise criteria】</w:t>
      </w:r>
    </w:p>
    <w:p>
      <w:pPr>
        <w:spacing w:after="60"/>
      </w:pPr>
      <w:r>
        <w:rPr>
          <w:b w:val="0"/>
          <w:i w:val="0"/>
          <w:sz w:val="18"/>
        </w:rPr>
        <w:t xml:space="preserve">  D（已改）D: Licence review addresses intellectual property risk only, and leaves out bias, quality and provenance, which the board's low risk appetite also covers.　【类型：Single-risk review of a multi-risk problem】</w:t>
      </w:r>
    </w:p>
    <w:p>
      <w:pPr>
        <w:spacing w:after="60"/>
      </w:pPr>
      <w:r>
        <w:rPr>
          <w:b w:val="0"/>
          <w:i w:val="0"/>
          <w:color w:val="5A5A5A"/>
          <w:sz w:val="17"/>
        </w:rPr>
        <w:t>出处（沿用原文，未核验）：NIST AI RMF 1.0 GOVERN 1.2, MAP 2.3 &amp; MEASURE 2.7; EU AI Act Art. 10 (for high-risk systems); ISO/IEC 42001:2023 (verify exact data governance clauses/annexes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19. 第二批 · FIRST · D3.2 Business Case, Value Realization &amp; ROI</w:t>
      </w:r>
    </w:p>
    <w:p>
      <w:pPr>
        <w:spacing w:after="60"/>
      </w:pPr>
      <w:r>
        <w:rPr>
          <w:b w:val="0"/>
          <w:i w:val="0"/>
          <w:color w:val="5A5A5A"/>
          <w:sz w:val="17"/>
        </w:rPr>
        <w:t>ID：aaig-pipe-1791941421172-6　难度：Intermediate</w:t>
      </w:r>
    </w:p>
    <w:p>
      <w:pPr>
        <w:spacing w:after="60"/>
      </w:pPr>
      <w:r>
        <w:rPr>
          <w:b w:val="0"/>
          <w:i w:val="0"/>
        </w:rPr>
        <w:t>情境：A multinational financial services enterprise plans to deploy an automated customer service AI system to enhance service delivery and optimize operational expenditure. The executive committee has mandated that the AI Governance Steering Committee validate the business case and establish a formal value realization and monitoring mechanism before capital allocation.</w:t>
      </w:r>
    </w:p>
    <w:p>
      <w:pPr>
        <w:spacing w:after="60"/>
      </w:pPr>
      <w:r>
        <w:rPr>
          <w:b/>
          <w:i w:val="0"/>
        </w:rPr>
        <w:t>问题：What foundational step should the AI Governance Steering Committee take FIRST to govern value realization effectively?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telemetry tooling across the development environment to continuously track token throughput and model inference latency.</w:t>
            </w:r>
          </w:p>
        </w:tc>
        <w:tc>
          <w:tcPr>
            <w:tcW w:type="dxa" w:w="5669"/>
            <w:shd w:val="clear" w:color="auto" w:fill="FFF2CC"/>
          </w:tcPr>
          <w:p>
            <w:r/>
            <w:r>
              <w:rPr>
                <w:b/>
              </w:rPr>
              <w:t>Request a vendor proposal with projected savings and ask the steering committee to approve funding if the projections look attractive.</w:t>
            </w:r>
          </w:p>
        </w:tc>
        <w:tc>
          <w:tcPr>
            <w:tcW w:type="dxa" w:w="1361"/>
          </w:tcPr>
          <w:p>
            <w:r/>
            <w:r>
              <w:rPr>
                <w:b w:val="0"/>
                <w:color w:val="BE5000"/>
              </w:rPr>
              <w:t>✱ 已改</w:t>
            </w:r>
          </w:p>
        </w:tc>
      </w:tr>
      <w:tr>
        <w:tc>
          <w:tcPr>
            <w:tcW w:type="dxa" w:w="907"/>
          </w:tcPr>
          <w:p>
            <w:r/>
            <w:r>
              <w:rPr>
                <w:b/>
              </w:rPr>
              <w:t>B</w:t>
            </w:r>
          </w:p>
        </w:tc>
        <w:tc>
          <w:tcPr>
            <w:tcW w:type="dxa" w:w="5669"/>
          </w:tcPr>
          <w:p>
            <w:r/>
            <w:r>
              <w:rPr>
                <w:b w:val="0"/>
              </w:rPr>
              <w:t>Perform a post-implementation benefits audit to measure realized cost savings against the initial budgetary forecasts provided by vendors.</w:t>
            </w:r>
          </w:p>
        </w:tc>
        <w:tc>
          <w:tcPr>
            <w:tcW w:type="dxa" w:w="5669"/>
          </w:tcPr>
          <w:p>
            <w:r/>
            <w:r>
              <w:rPr>
                <w:b w:val="0"/>
              </w:rPr>
              <w:t>Perform a post-implementation benefits audit to measure realized cost savings against the initial budgetary forecasts provided by vendors.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Define quantifiable business outcome metrics and baseline performance indicators aligned with enterprise strategy.</w:t>
            </w:r>
          </w:p>
        </w:tc>
        <w:tc>
          <w:tcPr>
            <w:tcW w:type="dxa" w:w="5669"/>
            <w:shd w:val="clear" w:color="auto" w:fill="FFF2CC"/>
          </w:tcPr>
          <w:p>
            <w:r/>
            <w:r>
              <w:rPr>
                <w:b/>
              </w:rPr>
              <w:t>Define measurable business outcomes and starting-point performance figures linked to enterprise strategy.</w:t>
            </w:r>
          </w:p>
        </w:tc>
        <w:tc>
          <w:tcPr>
            <w:tcW w:type="dxa" w:w="1361"/>
          </w:tcPr>
          <w:p>
            <w:r/>
            <w:r>
              <w:rPr>
                <w:b w:val="0"/>
                <w:color w:val="BE5000"/>
              </w:rPr>
              <w:t>✱ 已改</w:t>
            </w:r>
          </w:p>
        </w:tc>
      </w:tr>
      <w:tr>
        <w:tc>
          <w:tcPr>
            <w:tcW w:type="dxa" w:w="907"/>
          </w:tcPr>
          <w:p>
            <w:r/>
            <w:r>
              <w:rPr>
                <w:b/>
              </w:rPr>
              <w:t>D</w:t>
            </w:r>
          </w:p>
        </w:tc>
        <w:tc>
          <w:tcPr>
            <w:tcW w:type="dxa" w:w="5669"/>
          </w:tcPr>
          <w:p>
            <w:r/>
            <w:r>
              <w:rPr>
                <w:b w:val="0"/>
              </w:rPr>
              <w:t>Instruct the engineering leads to establish risk tolerances and financial hurdle rates autonomously for model testing.</w:t>
            </w:r>
          </w:p>
        </w:tc>
        <w:tc>
          <w:tcPr>
            <w:tcW w:type="dxa" w:w="5669"/>
            <w:shd w:val="clear" w:color="auto" w:fill="FFF2CC"/>
          </w:tcPr>
          <w:p>
            <w:r/>
            <w:r>
              <w:rPr>
                <w:b/>
              </w:rPr>
              <w:t>Ask the finance team to set a single payback-period hurdle that all AI initiatives must meet before proceeding.</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6.2 (AI Objectives and Planning) and NIST AI RMF GOVERN 1.2, value realization requires establishing clear, quantifiable business objectives and baseline performance metrics aligned with organizational strategy before committing resources or measuring post-deployment success. Without pre-established baselines and strategic alignment, performance monitoring and ROI cannot be validated.</w:t>
      </w:r>
    </w:p>
    <w:p>
      <w:pPr>
        <w:spacing w:after="60"/>
      </w:pPr>
      <w:r>
        <w:rPr>
          <w:b/>
          <w:i w:val="0"/>
          <w:sz w:val="18"/>
        </w:rPr>
        <w:t>改写后的错误选项解析与错误类型：</w:t>
      </w:r>
    </w:p>
    <w:p>
      <w:pPr>
        <w:spacing w:after="60"/>
      </w:pPr>
      <w:r>
        <w:rPr>
          <w:b w:val="0"/>
          <w:i w:val="0"/>
          <w:sz w:val="18"/>
        </w:rPr>
        <w:t xml:space="preserve">  A（已改）A: Vendor projections are a starting point, but approving funds on them before the firm defines its own outcome metrics and baseline makes later verification impossible.　【类型：Funding approved on vendor projections】</w:t>
      </w:r>
    </w:p>
    <w:p>
      <w:pPr>
        <w:spacing w:after="60"/>
      </w:pPr>
      <w:r>
        <w:rPr>
          <w:b w:val="0"/>
          <w:i w:val="0"/>
          <w:sz w:val="18"/>
        </w:rPr>
        <w:t xml:space="preserve">  B（未改）Performing a post-implementation audit represents a downstream activity that occurs after deployment, making it chronologically premature at the business case and planning stage.　【类型：Post-implementation audit at the planning stage】</w:t>
      </w:r>
    </w:p>
    <w:p>
      <w:pPr>
        <w:spacing w:after="60"/>
      </w:pPr>
      <w:r>
        <w:rPr>
          <w:b w:val="0"/>
          <w:i w:val="0"/>
          <w:sz w:val="18"/>
        </w:rPr>
        <w:t xml:space="preserve">  D（已改）D: A hurdle rate is a legitimate tool, but a single payback test ignores service quality, risk and strategic outcomes, and needs agreed outcome metrics to be applied properly.　【类型：Single financial test before outcome metrics】</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20. 第二批 · BEST · D3.1 Buy vs. Build &amp; Third-Party Sourcing Decisions</w:t>
      </w:r>
    </w:p>
    <w:p>
      <w:pPr>
        <w:spacing w:after="60"/>
      </w:pPr>
      <w:r>
        <w:rPr>
          <w:b w:val="0"/>
          <w:i w:val="0"/>
          <w:color w:val="5A5A5A"/>
          <w:sz w:val="17"/>
        </w:rPr>
        <w:t>ID：aaig-pipe-1791941442227-10　难度：Intermediate</w:t>
      </w:r>
    </w:p>
    <w:p>
      <w:pPr>
        <w:spacing w:after="60"/>
      </w:pPr>
      <w:r>
        <w:rPr>
          <w:b w:val="0"/>
          <w:i w:val="0"/>
        </w:rPr>
        <w:t>情境：A multinational financial services enterprise is evaluating whether to fine-tune an open-source foundation model internally or license a commercial third-party Large Language Model (LLM) service to automate customer inquiry handling. The organization must balance rapid integration demands against strict systemic risk, data sovereignty, and regulatory transparency mandates.</w:t>
      </w:r>
    </w:p>
    <w:p>
      <w:pPr>
        <w:spacing w:after="60"/>
      </w:pPr>
      <w:r>
        <w:rPr>
          <w:b/>
          <w:i w:val="0"/>
        </w:rPr>
        <w:t>问题：From an AI governance perspective, which of the following represents the BEST action for governing this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Execute benchmark performance evaluations across candidate foundation models to determine which vendor delivers the lowest response latency and highest task accuracy.</w:t>
            </w:r>
          </w:p>
        </w:tc>
        <w:tc>
          <w:tcPr>
            <w:tcW w:type="dxa" w:w="5669"/>
            <w:shd w:val="clear" w:color="auto" w:fill="FFF2CC"/>
          </w:tcPr>
          <w:p>
            <w:r/>
            <w:r>
              <w:rPr>
                <w:b/>
              </w:rPr>
              <w:t>Run a time-boxed technical proof of concept on both options and use the results to guide the decision taken by the executive team.</w:t>
            </w:r>
          </w:p>
        </w:tc>
        <w:tc>
          <w:tcPr>
            <w:tcW w:type="dxa" w:w="1361"/>
          </w:tcPr>
          <w:p>
            <w:r/>
            <w:r>
              <w:rPr>
                <w:b w:val="0"/>
                <w:color w:val="BE5000"/>
              </w:rPr>
              <w:t>✱ 已改</w:t>
            </w:r>
          </w:p>
        </w:tc>
      </w:tr>
      <w:tr>
        <w:tc>
          <w:tcPr>
            <w:tcW w:type="dxa" w:w="907"/>
          </w:tcPr>
          <w:p>
            <w:r/>
            <w:r>
              <w:rPr>
                <w:b/>
              </w:rPr>
              <w:t>B</w:t>
            </w:r>
          </w:p>
        </w:tc>
        <w:tc>
          <w:tcPr>
            <w:tcW w:type="dxa" w:w="5669"/>
          </w:tcPr>
          <w:p>
            <w:r/>
            <w:r>
              <w:rPr>
                <w:b w:val="0"/>
              </w:rPr>
              <w:t>Contract an external auditor to conduct an immediate regulatory conformity assessment before the enterprise defines operational AI use cases and business objectives.</w:t>
            </w:r>
          </w:p>
        </w:tc>
        <w:tc>
          <w:tcPr>
            <w:tcW w:type="dxa" w:w="5669"/>
          </w:tcPr>
          <w:p>
            <w:r/>
            <w:r>
              <w:rPr>
                <w:b w:val="0"/>
              </w:rPr>
              <w:t>Contract an external auditor to conduct an immediate regulatory conformity assessment before the enterprise defines operational AI use cases and business objectives.</w:t>
            </w:r>
          </w:p>
        </w:tc>
        <w:tc>
          <w:tcPr>
            <w:tcW w:type="dxa" w:w="1361"/>
          </w:tcPr>
          <w:p>
            <w:r/>
            <w:r>
              <w:rPr>
                <w:b w:val="0"/>
                <w:color w:val="787878"/>
              </w:rPr>
              <w:t>未改</w:t>
            </w:r>
          </w:p>
        </w:tc>
      </w:tr>
      <w:tr>
        <w:tc>
          <w:tcPr>
            <w:tcW w:type="dxa" w:w="907"/>
          </w:tcPr>
          <w:p>
            <w:r/>
            <w:r>
              <w:rPr>
                <w:b/>
              </w:rPr>
              <w:t>C</w:t>
            </w:r>
          </w:p>
        </w:tc>
        <w:tc>
          <w:tcPr>
            <w:tcW w:type="dxa" w:w="5669"/>
          </w:tcPr>
          <w:p>
            <w:r/>
            <w:r>
              <w:rPr>
                <w:b w:val="0"/>
              </w:rPr>
              <w:t>Authorize the lead application development team to independently select third-party AI APIs that satisfy technical security and interoperability protocols.</w:t>
            </w:r>
          </w:p>
        </w:tc>
        <w:tc>
          <w:tcPr>
            <w:tcW w:type="dxa" w:w="5669"/>
            <w:shd w:val="clear" w:color="auto" w:fill="FFF2CC"/>
          </w:tcPr>
          <w:p>
            <w:r/>
            <w:r>
              <w:rPr>
                <w:b/>
              </w:rPr>
              <w:t>Ask the chief information security officer to approve whichever option meets the firm's security and interoperability requirements.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a cross-functional sourcing framework evaluating vendor transparency, continuous compliance, and enterprise AI risk appetite alignment.</w:t>
            </w:r>
          </w:p>
        </w:tc>
        <w:tc>
          <w:tcPr>
            <w:tcW w:type="dxa" w:w="5669"/>
            <w:shd w:val="clear" w:color="auto" w:fill="FFF2CC"/>
          </w:tcPr>
          <w:p>
            <w:r/>
            <w:r>
              <w:rPr>
                <w:b/>
              </w:rPr>
              <w:t>Set up a cross-functional sourcing process that weighs vendor transparency, continuing compliance and the firm's risk limits.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and NIST AI RMF (GOVERN 6), sourcing decisions (buy vs. build) must be governed through a formalized, multi-stakeholder framework that addresses third-party risk, transparency (e.g., data provenance, model architecture), ongoing regulatory compliance, and alignment with enterprise risk tolerance. A holistic sourcing framework ensures accountability across the AI lifecycle rather than focusing merely on technical metrics or isolated checks.</w:t>
      </w:r>
    </w:p>
    <w:p>
      <w:pPr>
        <w:spacing w:after="60"/>
      </w:pPr>
      <w:r>
        <w:rPr>
          <w:b/>
          <w:i w:val="0"/>
          <w:sz w:val="18"/>
        </w:rPr>
        <w:t>改写后的错误选项解析与错误类型：</w:t>
      </w:r>
    </w:p>
    <w:p>
      <w:pPr>
        <w:spacing w:after="60"/>
      </w:pPr>
      <w:r>
        <w:rPr>
          <w:b w:val="0"/>
          <w:i w:val="0"/>
          <w:sz w:val="18"/>
        </w:rPr>
        <w:t xml:space="preserve">  A（已改）A: A proof of concept shows technical feasibility, but not vendor transparency, continuing compliance or fit with the firm's risk appetite and data sovereignty obligations.　【类型：Technical feasibility treated as the decision】</w:t>
      </w:r>
    </w:p>
    <w:p>
      <w:pPr>
        <w:spacing w:after="60"/>
      </w:pPr>
      <w:r>
        <w:rPr>
          <w:b w:val="0"/>
          <w:i w:val="0"/>
          <w:sz w:val="18"/>
        </w:rPr>
        <w:t xml:space="preserve">  B（未改）Option B represents wrong sequence; executing an external conformity assessment is premature before business use cases, data flows, and functional requirements are scoped and established.　【类型：Conformity assessment before use cases are defined】</w:t>
      </w:r>
    </w:p>
    <w:p>
      <w:pPr>
        <w:spacing w:after="60"/>
      </w:pPr>
      <w:r>
        <w:rPr>
          <w:b w:val="0"/>
          <w:i w:val="0"/>
          <w:sz w:val="18"/>
        </w:rPr>
        <w:t xml:space="preserve">  C（已改）C: Security approval is necessary, but it covers one risk area and does not weigh transparency, regulatory compliance or business fit.　【类型：Single-function approval of a multi-factor decision】</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21. 第二批 · FIRST · D1.2 Strategic Alignment &amp; Business Objectives</w:t>
      </w:r>
    </w:p>
    <w:p>
      <w:pPr>
        <w:spacing w:after="60"/>
      </w:pPr>
      <w:r>
        <w:rPr>
          <w:b w:val="0"/>
          <w:i w:val="0"/>
          <w:color w:val="5A5A5A"/>
          <w:sz w:val="17"/>
        </w:rPr>
        <w:t>ID：aaig-pipe-1791941470950-16　难度：Intermediate</w:t>
      </w:r>
    </w:p>
    <w:p>
      <w:pPr>
        <w:spacing w:after="60"/>
      </w:pPr>
      <w:r>
        <w:rPr>
          <w:b w:val="0"/>
          <w:i w:val="0"/>
        </w:rPr>
        <w:t>情境：A multinational financial institution plans to adopt generative AI and automated decision systems across several customer-facing and back-office functions. The board of directors has directed executive leadership to ensure all AI deployments strategically align with the enterprise's mission, risk tolerance, and regulatory compliance obligations.</w:t>
      </w:r>
    </w:p>
    <w:p>
      <w:pPr>
        <w:spacing w:after="60"/>
      </w:pPr>
      <w:r>
        <w:rPr>
          <w:b/>
          <w:i w:val="0"/>
        </w:rPr>
        <w:t>问题：What governance action should executive management take FIRST to ensure proper strategic alignment and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an enterprise AI steering committee to define the AI governance charter and strategic objectives.</w:t>
            </w:r>
          </w:p>
        </w:tc>
        <w:tc>
          <w:tcPr>
            <w:tcW w:type="dxa" w:w="5669"/>
            <w:shd w:val="clear" w:color="auto" w:fill="FFF2CC"/>
          </w:tcPr>
          <w:p>
            <w:r/>
            <w:r>
              <w:rPr>
                <w:b/>
              </w:rPr>
              <w:t>Form an executive AI committee to set the firm's AI mandate, strategic objectives and the way AI use will be overseen.</w:t>
            </w:r>
          </w:p>
        </w:tc>
        <w:tc>
          <w:tcPr>
            <w:tcW w:type="dxa" w:w="1361"/>
          </w:tcPr>
          <w:p>
            <w:r/>
            <w:r>
              <w:rPr>
                <w:b w:val="0"/>
                <w:color w:val="BE5000"/>
              </w:rPr>
              <w:t>✱ 已改</w:t>
            </w:r>
          </w:p>
        </w:tc>
      </w:tr>
      <w:tr>
        <w:tc>
          <w:tcPr>
            <w:tcW w:type="dxa" w:w="907"/>
          </w:tcPr>
          <w:p>
            <w:r/>
            <w:r>
              <w:rPr>
                <w:b/>
              </w:rPr>
              <w:t>B</w:t>
            </w:r>
          </w:p>
        </w:tc>
        <w:tc>
          <w:tcPr>
            <w:tcW w:type="dxa" w:w="5669"/>
          </w:tcPr>
          <w:p>
            <w:r/>
            <w:r>
              <w:rPr>
                <w:b w:val="0"/>
              </w:rPr>
              <w:t>Procure an enterprise AI auditing platform to automatically measure model drift and algorithmic bias across all operational pipelines.</w:t>
            </w:r>
          </w:p>
        </w:tc>
        <w:tc>
          <w:tcPr>
            <w:tcW w:type="dxa" w:w="5669"/>
            <w:shd w:val="clear" w:color="auto" w:fill="FFF2CC"/>
          </w:tcPr>
          <w:p>
            <w:r/>
            <w:r>
              <w:rPr>
                <w:b/>
              </w:rPr>
              <w:t>Commission a review of how peer institutions align AI with strategy and circulate the findings to the executive team.</w:t>
            </w:r>
          </w:p>
        </w:tc>
        <w:tc>
          <w:tcPr>
            <w:tcW w:type="dxa" w:w="1361"/>
          </w:tcPr>
          <w:p>
            <w:r/>
            <w:r>
              <w:rPr>
                <w:b w:val="0"/>
                <w:color w:val="BE5000"/>
              </w:rPr>
              <w:t>✱ 已改</w:t>
            </w:r>
          </w:p>
        </w:tc>
      </w:tr>
      <w:tr>
        <w:tc>
          <w:tcPr>
            <w:tcW w:type="dxa" w:w="907"/>
          </w:tcPr>
          <w:p>
            <w:r/>
            <w:r>
              <w:rPr>
                <w:b/>
              </w:rPr>
              <w:t>C</w:t>
            </w:r>
          </w:p>
        </w:tc>
        <w:tc>
          <w:tcPr>
            <w:tcW w:type="dxa" w:w="5669"/>
          </w:tcPr>
          <w:p>
            <w:r/>
            <w:r>
              <w:rPr>
                <w:b w:val="0"/>
              </w:rPr>
              <w:t>Perform detailed algorithmic impact assessments on candidate high-risk models to establish baseline performance metrics.</w:t>
            </w:r>
          </w:p>
        </w:tc>
        <w:tc>
          <w:tcPr>
            <w:tcW w:type="dxa" w:w="5669"/>
          </w:tcPr>
          <w:p>
            <w:r/>
            <w:r>
              <w:rPr>
                <w:b w:val="0"/>
              </w:rPr>
              <w:t>Perform detailed algorithmic impact assessments on candidate high-risk models to establish baseline performance metrics.</w:t>
            </w:r>
          </w:p>
        </w:tc>
        <w:tc>
          <w:tcPr>
            <w:tcW w:type="dxa" w:w="1361"/>
          </w:tcPr>
          <w:p>
            <w:r/>
            <w:r>
              <w:rPr>
                <w:b w:val="0"/>
                <w:color w:val="787878"/>
              </w:rPr>
              <w:t>未改</w:t>
            </w:r>
          </w:p>
        </w:tc>
      </w:tr>
      <w:tr>
        <w:tc>
          <w:tcPr>
            <w:tcW w:type="dxa" w:w="907"/>
          </w:tcPr>
          <w:p>
            <w:r/>
            <w:r>
              <w:rPr>
                <w:b/>
              </w:rPr>
              <w:t>D</w:t>
            </w:r>
          </w:p>
        </w:tc>
        <w:tc>
          <w:tcPr>
            <w:tcW w:type="dxa" w:w="5669"/>
          </w:tcPr>
          <w:p>
            <w:r/>
            <w:r>
              <w:rPr>
                <w:b w:val="0"/>
              </w:rPr>
              <w:t>Authorize business unit heads to prioritize and fund AI initiatives that meet departmental revenue benchmarks.</w:t>
            </w:r>
          </w:p>
        </w:tc>
        <w:tc>
          <w:tcPr>
            <w:tcW w:type="dxa" w:w="5669"/>
            <w:shd w:val="clear" w:color="auto" w:fill="FFF2CC"/>
          </w:tcPr>
          <w:p>
            <w:r/>
            <w:r>
              <w:rPr>
                <w:b/>
              </w:rPr>
              <w:t>Ask the chief financial officer to set an annual AI investment budget and allocate it across business units by headcount.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ISACA governance principles, ISO/IEC 42001 (Clause 5: Leadership), and NIST AI RMF (GOVERN 1.1, 1.2), establishing top-down accountability and strategic direction is the foundational first step. Creating a cross-functional AI steering committee and formalizing an AI governance charter ensures that organizational roles, decision rights, risk appetite, and strategic objectives are defined before technical implementation or model-specific assessments take place.</w:t>
      </w:r>
    </w:p>
    <w:p>
      <w:pPr>
        <w:spacing w:after="60"/>
      </w:pPr>
      <w:r>
        <w:rPr>
          <w:b/>
          <w:i w:val="0"/>
          <w:sz w:val="18"/>
        </w:rPr>
        <w:t>改写后的错误选项解析与错误类型：</w:t>
      </w:r>
    </w:p>
    <w:p>
      <w:pPr>
        <w:spacing w:after="60"/>
      </w:pPr>
      <w:r>
        <w:rPr>
          <w:b w:val="0"/>
          <w:i w:val="0"/>
          <w:sz w:val="18"/>
        </w:rPr>
        <w:t xml:space="preserve">  B（已改）B: Peer practice is helpful input, but a review does not give the firm a mandate, an accountable owner or strategic objectives to align against.　【类型：Benchmarking before a mandate】</w:t>
      </w:r>
    </w:p>
    <w:p>
      <w:pPr>
        <w:spacing w:after="60"/>
      </w:pPr>
      <w:r>
        <w:rPr>
          <w:b w:val="0"/>
          <w:i w:val="0"/>
          <w:sz w:val="18"/>
        </w:rPr>
        <w:t xml:space="preserve">  C（未改）Conducting algorithmic impact assessments on specific models is an operational risk measurement action that is premature before the enterprise governance charter and risk appetite have been established.　【类型：Impact assessments before strategic direction】</w:t>
      </w:r>
    </w:p>
    <w:p>
      <w:pPr>
        <w:spacing w:after="60"/>
      </w:pPr>
      <w:r>
        <w:rPr>
          <w:b w:val="0"/>
          <w:i w:val="0"/>
          <w:sz w:val="18"/>
        </w:rPr>
        <w:t xml:space="preserve">  D（已改）D: A budget funds activity, but allocating it by headcount ties investment to size rather than strategy, and no objectives or limits exist yet to govern its use.　【类型：Funding allocated before strategic objectives】</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22. 第二批 · BEST · D1.1 AI Governance Structure &amp; Board Oversight</w:t>
      </w:r>
    </w:p>
    <w:p>
      <w:pPr>
        <w:spacing w:after="60"/>
      </w:pPr>
      <w:r>
        <w:rPr>
          <w:b w:val="0"/>
          <w:i w:val="0"/>
          <w:color w:val="5A5A5A"/>
          <w:sz w:val="17"/>
        </w:rPr>
        <w:t>ID：aaig-pipe-1791941501443-20　难度：Intermediate</w:t>
      </w:r>
    </w:p>
    <w:p>
      <w:pPr>
        <w:spacing w:after="60"/>
      </w:pPr>
      <w:r>
        <w:rPr>
          <w:b w:val="0"/>
          <w:i w:val="0"/>
        </w:rPr>
        <w:t>情境：A multinational financial services enterprise is rapidly deploying predictive and generative AI tools across decentralized business units, resulting in inconsistent risk thresholds and fragmented accountability. The Board of Directors seeks to establish formal enterprise oversight aligned with the NIST AI RMF GOVERN function and ISO/IEC 42001.</w:t>
      </w:r>
    </w:p>
    <w:p>
      <w:pPr>
        <w:spacing w:after="60"/>
      </w:pPr>
      <w:r>
        <w:rPr>
          <w:b/>
          <w:i w:val="0"/>
        </w:rPr>
        <w:t>问题：Which of the following governance actions is the BEST approach for the board to ensure comprehensive enterprise AI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Instruct individual business units to perform independent algorithmic impact assessments prior to the formulation of an enterprise AI governance framework.</w:t>
            </w:r>
          </w:p>
        </w:tc>
        <w:tc>
          <w:tcPr>
            <w:tcW w:type="dxa" w:w="5669"/>
          </w:tcPr>
          <w:p>
            <w:r/>
            <w:r>
              <w:rPr>
                <w:b w:val="0"/>
              </w:rPr>
              <w:t>Instruct individual business units to perform independent algorithmic impact assessments prior to the formulation of an enterprise AI governance framework.</w:t>
            </w:r>
          </w:p>
        </w:tc>
        <w:tc>
          <w:tcPr>
            <w:tcW w:type="dxa" w:w="1361"/>
          </w:tcPr>
          <w:p>
            <w:r/>
            <w:r>
              <w:rPr>
                <w:b w:val="0"/>
                <w:color w:val="787878"/>
              </w:rPr>
              <w:t>未改</w:t>
            </w:r>
          </w:p>
        </w:tc>
      </w:tr>
      <w:tr>
        <w:tc>
          <w:tcPr>
            <w:tcW w:type="dxa" w:w="907"/>
          </w:tcPr>
          <w:p>
            <w:r/>
            <w:r>
              <w:rPr>
                <w:b/>
              </w:rPr>
              <w:t>B</w:t>
            </w:r>
          </w:p>
        </w:tc>
        <w:tc>
          <w:tcPr>
            <w:tcW w:type="dxa" w:w="5669"/>
          </w:tcPr>
          <w:p>
            <w:r/>
            <w:r>
              <w:rPr>
                <w:b w:val="0"/>
              </w:rPr>
              <w:t>Mandate the implementation of enterprise-wide technical validation tools to automate model monitoring, concept drift detection, and data lineage tracking.</w:t>
            </w:r>
          </w:p>
        </w:tc>
        <w:tc>
          <w:tcPr>
            <w:tcW w:type="dxa" w:w="5669"/>
            <w:shd w:val="clear" w:color="auto" w:fill="FFF2CC"/>
          </w:tcPr>
          <w:p>
            <w:r/>
            <w:r>
              <w:rPr>
                <w:b/>
              </w:rPr>
              <w:t>Request a gap assessment of current AI practices against the NIST AI RMF from an external adviser and present it to the board.</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Charter a cross-functional AI governance steering committee to define risk appetite, establish enterprise policies, and allocate decision rights.</w:t>
            </w:r>
          </w:p>
        </w:tc>
        <w:tc>
          <w:tcPr>
            <w:tcW w:type="dxa" w:w="5669"/>
            <w:shd w:val="clear" w:color="auto" w:fill="FFF2CC"/>
          </w:tcPr>
          <w:p>
            <w:r/>
            <w:r>
              <w:rPr>
                <w:b/>
              </w:rPr>
              <w:t>Set up a cross-functional AI committee, mandated by the board, to set risk limits, enterprise rules and decision authority.</w:t>
            </w:r>
          </w:p>
        </w:tc>
        <w:tc>
          <w:tcPr>
            <w:tcW w:type="dxa" w:w="1361"/>
          </w:tcPr>
          <w:p>
            <w:r/>
            <w:r>
              <w:rPr>
                <w:b w:val="0"/>
                <w:color w:val="BE5000"/>
              </w:rPr>
              <w:t>✱ 已改</w:t>
            </w:r>
          </w:p>
        </w:tc>
      </w:tr>
      <w:tr>
        <w:tc>
          <w:tcPr>
            <w:tcW w:type="dxa" w:w="907"/>
          </w:tcPr>
          <w:p>
            <w:r/>
            <w:r>
              <w:rPr>
                <w:b/>
              </w:rPr>
              <w:t>D</w:t>
            </w:r>
          </w:p>
        </w:tc>
        <w:tc>
          <w:tcPr>
            <w:tcW w:type="dxa" w:w="5669"/>
          </w:tcPr>
          <w:p>
            <w:r/>
            <w:r>
              <w:rPr>
                <w:b w:val="0"/>
              </w:rPr>
              <w:t>Assign direct responsibility for AI risk acceptance and ongoing model operational management to the internal audit function to ensure independent validation.</w:t>
            </w:r>
          </w:p>
        </w:tc>
        <w:tc>
          <w:tcPr>
            <w:tcW w:type="dxa" w:w="5669"/>
            <w:shd w:val="clear" w:color="auto" w:fill="FFF2CC"/>
          </w:tcPr>
          <w:p>
            <w:r/>
            <w:r>
              <w:rPr>
                <w:b/>
              </w:rPr>
              <w:t>Ask the chief risk officer to approve all AI deployments and to report exceptions to the board each quarter.</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(GOVERN 1.1, 1.2) and ISO/IEC 42001 (Clause 5), sound governance begins with top-down accountability. Chartering an executive, cross-functional AI governance committee establishes the necessary leadership mandate, defines risk appetite, defines decision rights, and sets policies that guide all subsequent operational activities.</w:t>
      </w:r>
    </w:p>
    <w:p>
      <w:pPr>
        <w:spacing w:after="60"/>
      </w:pPr>
      <w:r>
        <w:rPr>
          <w:b/>
          <w:i w:val="0"/>
          <w:sz w:val="18"/>
        </w:rPr>
        <w:t>改写后的错误选项解析与错误类型：</w:t>
      </w:r>
    </w:p>
    <w:p>
      <w:pPr>
        <w:spacing w:after="60"/>
      </w:pPr>
      <w:r>
        <w:rPr>
          <w:b w:val="0"/>
          <w:i w:val="0"/>
          <w:sz w:val="18"/>
        </w:rPr>
        <w:t xml:space="preserve">  A（未改）Demonstrates incorrect sequencing; conducting fragmented impact assessments at the business unit level before establishing an overarching AI governance framework and enterprise risk appetite creates inconsistency.　【类型：Local assessments before an enterprise framework】</w:t>
      </w:r>
    </w:p>
    <w:p>
      <w:pPr>
        <w:spacing w:after="60"/>
      </w:pPr>
      <w:r>
        <w:rPr>
          <w:b w:val="0"/>
          <w:i w:val="0"/>
          <w:sz w:val="18"/>
        </w:rPr>
        <w:t xml:space="preserve">  B（已改）B: A gap assessment gives useful insight, but it describes current weaknesses without creating the committee, decision rights and risk limits that fix the fragmentation.　【类型：Diagnosis without a decision-making structure】</w:t>
      </w:r>
    </w:p>
    <w:p>
      <w:pPr>
        <w:spacing w:after="60"/>
      </w:pPr>
      <w:r>
        <w:rPr>
          <w:b w:val="0"/>
          <w:i w:val="0"/>
          <w:sz w:val="18"/>
        </w:rPr>
        <w:t xml:space="preserve">  D（已改）D: Central approval by one officer addresses fragmentation, but concentrates decisions in one function, with no cross-functional input and no board-defined risk limits.　【类型：Single approver instead of cross-functional oversight】</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23. 第二批 · FIRST · D2.2 Enterprise AI Asset Inventory &amp; Model Cards</w:t>
      </w:r>
    </w:p>
    <w:p>
      <w:pPr>
        <w:spacing w:after="60"/>
      </w:pPr>
      <w:r>
        <w:rPr>
          <w:b w:val="0"/>
          <w:i w:val="0"/>
          <w:color w:val="5A5A5A"/>
          <w:sz w:val="17"/>
        </w:rPr>
        <w:t>ID：aaig-pipe-1791941501551-21　难度：Director-Level</w:t>
      </w:r>
    </w:p>
    <w:p>
      <w:pPr>
        <w:spacing w:after="60"/>
      </w:pPr>
      <w:r>
        <w:rPr>
          <w:b w:val="0"/>
          <w:i w:val="0"/>
        </w:rPr>
        <w:t>情境：A multinational financial services firm is establishing an enterprise AI asset inventory and standardized model card reporting mechanism across decentralized business units to align with ISO/IEC 42001 and NIST AI RMF. Currently, multiple development teams are utilizing disparate documentation templates and deploying models into production without consistent metadata or risk classification.</w:t>
      </w:r>
    </w:p>
    <w:p>
      <w:pPr>
        <w:spacing w:after="60"/>
      </w:pPr>
      <w:r>
        <w:rPr>
          <w:b/>
          <w:i w:val="0"/>
        </w:rPr>
        <w:t>问题：From an enterprise governance perspective, which foundational action should the Director of AI Governance initiate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an automated continuous discovery and metadata scraping tool across code repositories to catalog every algorithmic model artifact.</w:t>
            </w:r>
          </w:p>
        </w:tc>
        <w:tc>
          <w:tcPr>
            <w:tcW w:type="dxa" w:w="5669"/>
            <w:shd w:val="clear" w:color="auto" w:fill="FFF2CC"/>
          </w:tcPr>
          <w:p>
            <w:r/>
            <w:r>
              <w:rPr>
                <w:b/>
              </w:rPr>
              <w:t>Run a one-time workshop with business unit leaders to agree what should be listed as an AI asset in the inventory.</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enterprise taxonomy, classification criteria, and governance policies defining AI assets and mandatory model card fields.</w:t>
            </w:r>
          </w:p>
        </w:tc>
        <w:tc>
          <w:tcPr>
            <w:tcW w:type="dxa" w:w="5669"/>
            <w:shd w:val="clear" w:color="auto" w:fill="FFF2CC"/>
          </w:tcPr>
          <w:p>
            <w:r/>
            <w:r>
              <w:rPr>
                <w:b/>
              </w:rPr>
              <w:t>Set the enterprise taxonomy, classification criteria and rules that define AI assets and mandatory model card fields.</w:t>
            </w:r>
          </w:p>
        </w:tc>
        <w:tc>
          <w:tcPr>
            <w:tcW w:type="dxa" w:w="1361"/>
          </w:tcPr>
          <w:p>
            <w:r/>
            <w:r>
              <w:rPr>
                <w:b w:val="0"/>
                <w:color w:val="BE5000"/>
              </w:rPr>
              <w:t>✱ 已改</w:t>
            </w:r>
          </w:p>
        </w:tc>
      </w:tr>
      <w:tr>
        <w:tc>
          <w:tcPr>
            <w:tcW w:type="dxa" w:w="907"/>
          </w:tcPr>
          <w:p>
            <w:r/>
            <w:r>
              <w:rPr>
                <w:b/>
              </w:rPr>
              <w:t>C</w:t>
            </w:r>
          </w:p>
        </w:tc>
        <w:tc>
          <w:tcPr>
            <w:tcW w:type="dxa" w:w="5669"/>
          </w:tcPr>
          <w:p>
            <w:r/>
            <w:r>
              <w:rPr>
                <w:b w:val="0"/>
              </w:rPr>
              <w:t>Mandate that all business units immediately publish finalized model cards into a central registry prior to their next scheduled deployment.</w:t>
            </w:r>
          </w:p>
        </w:tc>
        <w:tc>
          <w:tcPr>
            <w:tcW w:type="dxa" w:w="5669"/>
          </w:tcPr>
          <w:p>
            <w:r/>
            <w:r>
              <w:rPr>
                <w:b w:val="0"/>
              </w:rPr>
              <w:t>Mandate that all business units immediately publish finalized model cards into a central registry prior to their next scheduled deployment.</w:t>
            </w:r>
          </w:p>
        </w:tc>
        <w:tc>
          <w:tcPr>
            <w:tcW w:type="dxa" w:w="1361"/>
          </w:tcPr>
          <w:p>
            <w:r/>
            <w:r>
              <w:rPr>
                <w:b w:val="0"/>
                <w:color w:val="787878"/>
              </w:rPr>
              <w:t>未改</w:t>
            </w:r>
          </w:p>
        </w:tc>
      </w:tr>
      <w:tr>
        <w:tc>
          <w:tcPr>
            <w:tcW w:type="dxa" w:w="907"/>
          </w:tcPr>
          <w:p>
            <w:r/>
            <w:r>
              <w:rPr>
                <w:b/>
              </w:rPr>
              <w:t>D</w:t>
            </w:r>
          </w:p>
        </w:tc>
        <w:tc>
          <w:tcPr>
            <w:tcW w:type="dxa" w:w="5669"/>
          </w:tcPr>
          <w:p>
            <w:r/>
            <w:r>
              <w:rPr>
                <w:b w:val="0"/>
              </w:rPr>
              <w:t>Direct internal audit to conduct an enterprise-wide discovery review of active machine learning workloads to identify unapproved systems.</w:t>
            </w:r>
          </w:p>
        </w:tc>
        <w:tc>
          <w:tcPr>
            <w:tcW w:type="dxa" w:w="5669"/>
            <w:shd w:val="clear" w:color="auto" w:fill="FFF2CC"/>
          </w:tcPr>
          <w:p>
            <w:r/>
            <w:r>
              <w:rPr>
                <w:b/>
              </w:rPr>
              <w:t>Ask the data protection officer to identify AI systems that process personal data and add them to the inventory first.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6 and Clause 8) and NIST AI RMF (GOVERN 1.1 and 2.1), establishing governance requires defining policies, roles, organizational AI taxonomy, and risk-based classification criteria before deploying tools or enforcing operational mandates. Without standardized definitions of what constitutes an AI asset and the specific metadata required for model cards, inventories become inconsistent and unmanageable.</w:t>
      </w:r>
    </w:p>
    <w:p>
      <w:pPr>
        <w:spacing w:after="60"/>
      </w:pPr>
      <w:r>
        <w:rPr>
          <w:b/>
          <w:i w:val="0"/>
          <w:sz w:val="18"/>
        </w:rPr>
        <w:t>改写后的错误选项解析与错误类型：</w:t>
      </w:r>
    </w:p>
    <w:p>
      <w:pPr>
        <w:spacing w:after="60"/>
      </w:pPr>
      <w:r>
        <w:rPr>
          <w:b w:val="0"/>
          <w:i w:val="0"/>
          <w:sz w:val="18"/>
        </w:rPr>
        <w:t xml:space="preserve">  A（已改）A: A workshop can build shared understanding, but it produces no approved taxonomy, classification criteria or mandatory fields, so the register will drift again.　【类型：Consensus-building without binding standards】</w:t>
      </w:r>
    </w:p>
    <w:p>
      <w:pPr>
        <w:spacing w:after="60"/>
      </w:pPr>
      <w:r>
        <w:rPr>
          <w:b w:val="0"/>
          <w:i w:val="0"/>
          <w:sz w:val="18"/>
        </w:rPr>
        <w:t xml:space="preserve">  C（未改）Option C represents premature operational enforcement, requiring teams to populate registries before enterprise standards, templates, and baseline metadata criteria have been formally established.　【类型：Publishing model cards before standards are set】</w:t>
      </w:r>
    </w:p>
    <w:p>
      <w:pPr>
        <w:spacing w:after="60"/>
      </w:pPr>
      <w:r>
        <w:rPr>
          <w:b w:val="0"/>
          <w:i w:val="0"/>
          <w:sz w:val="18"/>
        </w:rPr>
        <w:t xml:space="preserve">  D（已改）D: Prioritizing personal-data systems is sensible later, but a partial inventory built without common definitions and classification leaves the other systems unmanaged.　【类型：Partial inventory before common definitions】</w:t>
      </w:r>
    </w:p>
    <w:p>
      <w:pPr>
        <w:spacing w:after="60"/>
      </w:pPr>
      <w:r>
        <w:rPr>
          <w:b w:val="0"/>
          <w:i w:val="0"/>
          <w:color w:val="5A5A5A"/>
          <w:sz w:val="17"/>
        </w:rPr>
        <w:t>出处（沿用原文，未核验）：NIST AI RMF 1.0 GOVERN 1.2, GOVERN 1.6 &amp; MAP 1.1; Mitchell et al. (arXiv:1810.03993); ISO/IEC 42001:2023 (verify exact inventory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24. 第二批 · FIRST · D3.2 Business Case, Value Realization &amp; ROI</w:t>
      </w:r>
    </w:p>
    <w:p>
      <w:pPr>
        <w:spacing w:after="60"/>
      </w:pPr>
      <w:r>
        <w:rPr>
          <w:b w:val="0"/>
          <w:i w:val="0"/>
          <w:color w:val="5A5A5A"/>
          <w:sz w:val="17"/>
        </w:rPr>
        <w:t>ID：aaig-pipe-1791942376652-6　难度：Intermediate</w:t>
      </w:r>
    </w:p>
    <w:p>
      <w:pPr>
        <w:spacing w:after="60"/>
      </w:pPr>
      <w:r>
        <w:rPr>
          <w:b w:val="0"/>
          <w:i w:val="0"/>
        </w:rPr>
        <w:t>情境：A multinational financial services firm is developing a business case to integrate a generative AI decision-support platform into its commercial lending process. The AI Governance Steering Committee must ensure that proposed business benefits can be objectively tracked and realized over the system's life cycle.</w:t>
      </w:r>
    </w:p>
    <w:p>
      <w:pPr>
        <w:spacing w:after="60"/>
      </w:pPr>
      <w:r>
        <w:rPr>
          <w:b/>
          <w:i w:val="0"/>
        </w:rPr>
        <w:t>问题：What should the enterprise do FIRST to support effective value realization and return on investment (ROI) monitoring for this AI initiative?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and deploy an enterprise performance dashboard to track compute expenditures and technical latency across the deployment pipeline.</w:t>
            </w:r>
          </w:p>
        </w:tc>
        <w:tc>
          <w:tcPr>
            <w:tcW w:type="dxa" w:w="5669"/>
            <w:shd w:val="clear" w:color="auto" w:fill="FFF2CC"/>
          </w:tcPr>
          <w:p>
            <w:r/>
            <w:r>
              <w:rPr>
                <w:b/>
              </w:rPr>
              <w:t>Ask the lending business to forecast the productivity gains it expects, and have finance record those forecasts in the business case.</w:t>
            </w:r>
          </w:p>
        </w:tc>
        <w:tc>
          <w:tcPr>
            <w:tcW w:type="dxa" w:w="1361"/>
          </w:tcPr>
          <w:p>
            <w:r/>
            <w:r>
              <w:rPr>
                <w:b w:val="0"/>
                <w:color w:val="BE5000"/>
              </w:rPr>
              <w:t>✱ 已改</w:t>
            </w:r>
          </w:p>
        </w:tc>
      </w:tr>
      <w:tr>
        <w:tc>
          <w:tcPr>
            <w:tcW w:type="dxa" w:w="907"/>
          </w:tcPr>
          <w:p>
            <w:r/>
            <w:r>
              <w:rPr>
                <w:b/>
              </w:rPr>
              <w:t>B</w:t>
            </w:r>
          </w:p>
        </w:tc>
        <w:tc>
          <w:tcPr>
            <w:tcW w:type="dxa" w:w="5669"/>
          </w:tcPr>
          <w:p>
            <w:r/>
            <w:r>
              <w:rPr>
                <w:b w:val="0"/>
              </w:rPr>
              <w:t>Conduct a small-scale pilot deployment to empirically determine actual cost savings and model precision in live operational environments.</w:t>
            </w:r>
          </w:p>
        </w:tc>
        <w:tc>
          <w:tcPr>
            <w:tcW w:type="dxa" w:w="5669"/>
          </w:tcPr>
          <w:p>
            <w:r/>
            <w:r>
              <w:rPr>
                <w:b w:val="0"/>
              </w:rPr>
              <w:t>Conduct a small-scale pilot deployment to empirically determine actual cost savings and model precision in live operational environments.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baseline operational metrics and define target value realization criteria aligned with enterprise strategy.</w:t>
            </w:r>
          </w:p>
        </w:tc>
        <w:tc>
          <w:tcPr>
            <w:tcW w:type="dxa" w:w="5669"/>
            <w:shd w:val="clear" w:color="auto" w:fill="FFF2CC"/>
          </w:tcPr>
          <w:p>
            <w:r/>
            <w:r>
              <w:rPr>
                <w:b/>
              </w:rPr>
              <w:t>Set baseline operational figures and define target value criteria aligned with enterprise strategy.</w:t>
            </w:r>
          </w:p>
        </w:tc>
        <w:tc>
          <w:tcPr>
            <w:tcW w:type="dxa" w:w="1361"/>
          </w:tcPr>
          <w:p>
            <w:r/>
            <w:r>
              <w:rPr>
                <w:b w:val="0"/>
                <w:color w:val="BE5000"/>
              </w:rPr>
              <w:t>✱ 已改</w:t>
            </w:r>
          </w:p>
        </w:tc>
      </w:tr>
      <w:tr>
        <w:tc>
          <w:tcPr>
            <w:tcW w:type="dxa" w:w="907"/>
          </w:tcPr>
          <w:p>
            <w:r/>
            <w:r>
              <w:rPr>
                <w:b/>
              </w:rPr>
              <w:t>D</w:t>
            </w:r>
          </w:p>
        </w:tc>
        <w:tc>
          <w:tcPr>
            <w:tcW w:type="dxa" w:w="5669"/>
          </w:tcPr>
          <w:p>
            <w:r/>
            <w:r>
              <w:rPr>
                <w:b w:val="0"/>
              </w:rPr>
              <w:t>Mandate the third-line internal audit team to formally validate the business case assumptions and financial return models.</w:t>
            </w:r>
          </w:p>
        </w:tc>
        <w:tc>
          <w:tcPr>
            <w:tcW w:type="dxa" w:w="5669"/>
            <w:shd w:val="clear" w:color="auto" w:fill="FFF2CC"/>
          </w:tcPr>
          <w:p>
            <w:r/>
            <w:r>
              <w:rPr>
                <w:b/>
              </w:rPr>
              <w:t>Ask the steering committee to approve a ceiling on total spend for the initiative and review progress against it quarterly.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6.2) and NIST AI RMF (GOVERN 1.2, MAP 1.1), defining measurable objectives, baseline metrics, and target value criteria aligned with enterprise strategy and risk appetite is the foundational initial step for value realization. Without established baseline measurements and agreed strategic criteria, the organization cannot meaningfully evaluate performance, compute ROI, or govern business outcomes.</w:t>
      </w:r>
    </w:p>
    <w:p>
      <w:pPr>
        <w:spacing w:after="60"/>
      </w:pPr>
      <w:r>
        <w:rPr>
          <w:b/>
          <w:i w:val="0"/>
          <w:sz w:val="18"/>
        </w:rPr>
        <w:t>改写后的错误选项解析与错误类型：</w:t>
      </w:r>
    </w:p>
    <w:p>
      <w:pPr>
        <w:spacing w:after="60"/>
      </w:pPr>
      <w:r>
        <w:rPr>
          <w:b w:val="0"/>
          <w:i w:val="0"/>
          <w:sz w:val="18"/>
        </w:rPr>
        <w:t xml:space="preserve">  A（已改）A: Sponsor forecasts are normal inputs, but without an agreed measurement basis and common value criteria they cannot later be checked against actual results.　【类型：Forecasts without an agreed measurement basis】</w:t>
      </w:r>
    </w:p>
    <w:p>
      <w:pPr>
        <w:spacing w:after="60"/>
      </w:pPr>
      <w:r>
        <w:rPr>
          <w:b w:val="0"/>
          <w:i w:val="0"/>
          <w:sz w:val="18"/>
        </w:rPr>
        <w:t xml:space="preserve">  B（未改）Deploying a pilot to observe savings is an operational execution step that is premature before establishing baselines and evaluation criteria (wrong sequence).　【类型：Pilot before baseline and value criteria】</w:t>
      </w:r>
    </w:p>
    <w:p>
      <w:pPr>
        <w:spacing w:after="60"/>
      </w:pPr>
      <w:r>
        <w:rPr>
          <w:b w:val="0"/>
          <w:i w:val="0"/>
          <w:sz w:val="18"/>
        </w:rPr>
        <w:t xml:space="preserve">  D（已改）D: A spending ceiling controls cost, but value realization needs outcome metrics and a baseline, which a spend limit alone does not provide.　【类型：Cost control mistaken for value governance】</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25. 第二批 · BEST · D1.6 Regulatory Landscapes &amp; Global Compliance (EU AI Act)</w:t>
      </w:r>
    </w:p>
    <w:p>
      <w:pPr>
        <w:spacing w:after="60"/>
      </w:pPr>
      <w:r>
        <w:rPr>
          <w:b w:val="0"/>
          <w:i w:val="0"/>
          <w:color w:val="5A5A5A"/>
          <w:sz w:val="17"/>
        </w:rPr>
        <w:t>ID：aaig-pipe-1791943579681-115-bbbve　难度：Director-Level</w:t>
      </w:r>
    </w:p>
    <w:p>
      <w:pPr>
        <w:spacing w:after="60"/>
      </w:pPr>
      <w:r>
        <w:rPr>
          <w:b w:val="0"/>
          <w:i w:val="0"/>
        </w:rPr>
        <w:t>情境：A multinational enterprise is preparing to deploy an automated candidate ranking and evaluation system across its European Union subsidiaries, categorizing the application as a high-risk AI system under the EU AI Act. The AI Governance Director must ensure the organization achieves sustained compliance while maintaining alignment with enterprise risk management and operational standards.</w:t>
      </w:r>
    </w:p>
    <w:p>
      <w:pPr>
        <w:spacing w:after="60"/>
      </w:pPr>
      <w:r>
        <w:rPr>
          <w:b/>
          <w:i w:val="0"/>
        </w:rPr>
        <w:t>问题：Which of the following represents the BEST governance action to institutionalize regulatory compliance and ongoing risk oversight for this deployment?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the data engineering team to implement continuous adversarial robustness testing and real-time model drift telemetry across all production pipelines.</w:t>
            </w:r>
          </w:p>
        </w:tc>
        <w:tc>
          <w:tcPr>
            <w:tcW w:type="dxa" w:w="5669"/>
            <w:shd w:val="clear" w:color="auto" w:fill="FFF2CC"/>
          </w:tcPr>
          <w:p>
            <w:r/>
            <w:r>
              <w:rPr>
                <w:b/>
              </w:rPr>
              <w:t>Prepare a technical file for the ranking system and file it with the national authority before deployment in each member state.</w:t>
            </w:r>
          </w:p>
        </w:tc>
        <w:tc>
          <w:tcPr>
            <w:tcW w:type="dxa" w:w="1361"/>
          </w:tcPr>
          <w:p>
            <w:r/>
            <w:r>
              <w:rPr>
                <w:b w:val="0"/>
                <w:color w:val="BE5000"/>
              </w:rPr>
              <w:t>✱ 已改</w:t>
            </w:r>
          </w:p>
        </w:tc>
      </w:tr>
      <w:tr>
        <w:tc>
          <w:tcPr>
            <w:tcW w:type="dxa" w:w="907"/>
          </w:tcPr>
          <w:p>
            <w:r/>
            <w:r>
              <w:rPr>
                <w:b/>
              </w:rPr>
              <w:t>B</w:t>
            </w:r>
          </w:p>
        </w:tc>
        <w:tc>
          <w:tcPr>
            <w:tcW w:type="dxa" w:w="5669"/>
          </w:tcPr>
          <w:p>
            <w:r/>
            <w:r>
              <w:rPr>
                <w:b w:val="0"/>
              </w:rPr>
              <w:t>Contract an accredited third-party notified body to perform a full formal conformity assessment audit across all product lines prior to formalizing the enterprise AI risk policy.</w:t>
            </w:r>
          </w:p>
        </w:tc>
        <w:tc>
          <w:tcPr>
            <w:tcW w:type="dxa" w:w="5669"/>
          </w:tcPr>
          <w:p>
            <w:r/>
            <w:r>
              <w:rPr>
                <w:b w:val="0"/>
              </w:rPr>
              <w:t>Contract an accredited third-party notified body to perform a full formal conformity assessment audit across all product lines prior to formalizing the enterprise AI risk policy.</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an enterprise AI risk management framework integrated with quality management procedures, mandatory conformity assessments, and post-market monitoring governance.</w:t>
            </w:r>
          </w:p>
        </w:tc>
        <w:tc>
          <w:tcPr>
            <w:tcW w:type="dxa" w:w="5669"/>
            <w:shd w:val="clear" w:color="auto" w:fill="FFF2CC"/>
          </w:tcPr>
          <w:p>
            <w:r/>
            <w:r>
              <w:rPr>
                <w:b/>
              </w:rPr>
              <w:t>Build an AI risk management system within quality management procedures, with conformity assessment and post-market monitoring.</w:t>
            </w:r>
          </w:p>
        </w:tc>
        <w:tc>
          <w:tcPr>
            <w:tcW w:type="dxa" w:w="1361"/>
          </w:tcPr>
          <w:p>
            <w:r/>
            <w:r>
              <w:rPr>
                <w:b w:val="0"/>
                <w:color w:val="BE5000"/>
              </w:rPr>
              <w:t>✱ 已改</w:t>
            </w:r>
          </w:p>
        </w:tc>
      </w:tr>
      <w:tr>
        <w:tc>
          <w:tcPr>
            <w:tcW w:type="dxa" w:w="907"/>
          </w:tcPr>
          <w:p>
            <w:r/>
            <w:r>
              <w:rPr>
                <w:b/>
              </w:rPr>
              <w:t>D</w:t>
            </w:r>
          </w:p>
        </w:tc>
        <w:tc>
          <w:tcPr>
            <w:tcW w:type="dxa" w:w="5669"/>
          </w:tcPr>
          <w:p>
            <w:r/>
            <w:r>
              <w:rPr>
                <w:b w:val="0"/>
              </w:rPr>
              <w:t>Authorize individual business unit product managers to independently determine their applications' regulatory risk classification and approve localized risk mitigation plans.</w:t>
            </w:r>
          </w:p>
        </w:tc>
        <w:tc>
          <w:tcPr>
            <w:tcW w:type="dxa" w:w="5669"/>
            <w:shd w:val="clear" w:color="auto" w:fill="FFF2CC"/>
          </w:tcPr>
          <w:p>
            <w:r/>
            <w:r>
              <w:rPr>
                <w:b/>
              </w:rPr>
              <w:t>Appoint an EU representative and a data protection officer for the subsidiaries and make them responsible for AI compliance.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主解析（未改动）：Under the EU AI Act (notably Articles 9, 17, 43, and 72) and ISO/IEC 42001, providers of high-risk AI systems must implement an end-to-end governance architecture that embeds continuous risk management into an overarching Quality Management System (QMS), executes defined conformity assessments, and maintains systematic post-market monitoring. Establishing this integrated top-down policy structure is the most comprehensive governance response.</w:t>
      </w:r>
    </w:p>
    <w:p>
      <w:pPr>
        <w:spacing w:after="60"/>
      </w:pPr>
      <w:r>
        <w:rPr>
          <w:b/>
          <w:i w:val="0"/>
          <w:sz w:val="18"/>
        </w:rPr>
        <w:t>改写后的错误选项解析与错误类型：</w:t>
      </w:r>
    </w:p>
    <w:p>
      <w:pPr>
        <w:spacing w:after="60"/>
      </w:pPr>
      <w:r>
        <w:rPr>
          <w:b w:val="0"/>
          <w:i w:val="0"/>
          <w:sz w:val="18"/>
        </w:rPr>
        <w:t xml:space="preserve">  A（已改）A: Documentation and notification are part of compliance, but filing alone does not establish continuing risk management, quality management and post-market monitoring.　【类型：One-off filing mistaken for continuing compliance】</w:t>
      </w:r>
    </w:p>
    <w:p>
      <w:pPr>
        <w:spacing w:after="60"/>
      </w:pPr>
      <w:r>
        <w:rPr>
          <w:b w:val="0"/>
          <w:i w:val="0"/>
          <w:sz w:val="18"/>
        </w:rPr>
        <w:t xml:space="preserve">  B（未改）Represents an incorrect sequence; external notified body audits or conformity assessments cannot succeed before an internal policy, technical documentation, and quality management baseline are established.　【类型：Conformity audit before the enterprise risk policy】</w:t>
      </w:r>
    </w:p>
    <w:p>
      <w:pPr>
        <w:spacing w:after="60"/>
      </w:pPr>
      <w:r>
        <w:rPr>
          <w:b w:val="0"/>
          <w:i w:val="0"/>
          <w:sz w:val="18"/>
        </w:rPr>
        <w:t xml:space="preserve">  D（已改）D: These roles are useful, but assigning compliance to two individuals does not create the risk management and quality management processes the Act requires for high-risk systems.　【类型：Roles named without supporting processes】</w:t>
      </w:r>
    </w:p>
    <w:p>
      <w:pPr>
        <w:spacing w:after="60"/>
      </w:pPr>
      <w:r>
        <w:rPr>
          <w:b w:val="0"/>
          <w:i w:val="0"/>
          <w:color w:val="5A5A5A"/>
          <w:sz w:val="17"/>
        </w:rPr>
        <w:t>出处（沿用原文，未核验）：Regulation (EU) 2024/1689 (EU AI Act) Arts. 9–17, 26, 27, 43 &amp; 72; IIA Three Lines Model (2020); NIST AI RMF 1.0 GOVERN 1.1 &amp; 1.2;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26. 第三批 · PRIMARY · D1.4 Roles, Responsibilities &amp; Three Lines Model</w:t>
      </w:r>
    </w:p>
    <w:p>
      <w:pPr>
        <w:spacing w:after="60"/>
      </w:pPr>
      <w:r>
        <w:rPr>
          <w:b w:val="0"/>
          <w:i w:val="0"/>
          <w:color w:val="5A5A5A"/>
          <w:sz w:val="17"/>
        </w:rPr>
        <w:t>ID：aaig-pipe-1791942377513-8　难度：Intermediate</w:t>
      </w:r>
    </w:p>
    <w:p>
      <w:pPr>
        <w:spacing w:after="60"/>
      </w:pPr>
      <w:r>
        <w:rPr>
          <w:b w:val="0"/>
          <w:i w:val="0"/>
        </w:rPr>
        <w:t>情境：A global financial institution is operationalizing an enterprise-wide generative AI underwriting platform. To comply with ISO/IEC 42001 and maintain alignment with the IIA Three Lines Model, executive leadership is formalizing governance duties across departments.</w:t>
      </w:r>
    </w:p>
    <w:p>
      <w:pPr>
        <w:spacing w:after="60"/>
      </w:pPr>
      <w:r>
        <w:rPr>
          <w:b/>
          <w:i w:val="0"/>
        </w:rPr>
        <w:t>问题：In this governance structure, what is the PRIMARY responsibility of the second line of defense?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risk management frameworks and monitor first-line compliance against AI policies.</w:t>
            </w:r>
          </w:p>
        </w:tc>
        <w:tc>
          <w:tcPr>
            <w:tcW w:type="dxa" w:w="5669"/>
            <w:shd w:val="clear" w:color="auto" w:fill="FFF2CC"/>
          </w:tcPr>
          <w:p>
            <w:r/>
            <w:r>
              <w:rPr>
                <w:b/>
              </w:rPr>
              <w:t>Set the risk management approach and challenge how the first line applies it.</w:t>
            </w:r>
          </w:p>
        </w:tc>
        <w:tc>
          <w:tcPr>
            <w:tcW w:type="dxa" w:w="1361"/>
          </w:tcPr>
          <w:p>
            <w:r/>
            <w:r>
              <w:rPr>
                <w:b w:val="0"/>
                <w:color w:val="BE5000"/>
              </w:rPr>
              <w:t>✱ 已改</w:t>
            </w:r>
          </w:p>
        </w:tc>
      </w:tr>
      <w:tr>
        <w:tc>
          <w:tcPr>
            <w:tcW w:type="dxa" w:w="907"/>
          </w:tcPr>
          <w:p>
            <w:r/>
            <w:r>
              <w:rPr>
                <w:b/>
              </w:rPr>
              <w:t>B</w:t>
            </w:r>
          </w:p>
        </w:tc>
        <w:tc>
          <w:tcPr>
            <w:tcW w:type="dxa" w:w="5669"/>
          </w:tcPr>
          <w:p>
            <w:r/>
            <w:r>
              <w:rPr>
                <w:b w:val="0"/>
              </w:rPr>
              <w:t>Deploy real-time monitoring pipelines to optimize model hyperparameters and inference performance.</w:t>
            </w:r>
          </w:p>
        </w:tc>
        <w:tc>
          <w:tcPr>
            <w:tcW w:type="dxa" w:w="5669"/>
            <w:shd w:val="clear" w:color="auto" w:fill="FFF2CC"/>
          </w:tcPr>
          <w:p>
            <w:r/>
            <w:r>
              <w:rPr>
                <w:b/>
              </w:rPr>
              <w:t>Own the day-to-day operation of the underwriting platform and fix model errors as they occur.</w:t>
            </w:r>
          </w:p>
        </w:tc>
        <w:tc>
          <w:tcPr>
            <w:tcW w:type="dxa" w:w="1361"/>
          </w:tcPr>
          <w:p>
            <w:r/>
            <w:r>
              <w:rPr>
                <w:b w:val="0"/>
                <w:color w:val="BE5000"/>
              </w:rPr>
              <w:t>✱ 已改</w:t>
            </w:r>
          </w:p>
        </w:tc>
      </w:tr>
      <w:tr>
        <w:tc>
          <w:tcPr>
            <w:tcW w:type="dxa" w:w="907"/>
          </w:tcPr>
          <w:p>
            <w:r/>
            <w:r>
              <w:rPr>
                <w:b/>
              </w:rPr>
              <w:t>C</w:t>
            </w:r>
          </w:p>
        </w:tc>
        <w:tc>
          <w:tcPr>
            <w:tcW w:type="dxa" w:w="5669"/>
          </w:tcPr>
          <w:p>
            <w:r/>
            <w:r>
              <w:rPr>
                <w:b w:val="0"/>
              </w:rPr>
              <w:t>Execute automated post-incident remediation across active models before setting baseline risk thresholds.</w:t>
            </w:r>
          </w:p>
        </w:tc>
        <w:tc>
          <w:tcPr>
            <w:tcW w:type="dxa" w:w="5669"/>
            <w:shd w:val="clear" w:color="auto" w:fill="FFF2CC"/>
          </w:tcPr>
          <w:p>
            <w:r/>
            <w:r>
              <w:rPr>
                <w:b/>
              </w:rPr>
              <w:t>Approve each model for release and sign off residual risk on behalf of the business.</w:t>
            </w:r>
          </w:p>
        </w:tc>
        <w:tc>
          <w:tcPr>
            <w:tcW w:type="dxa" w:w="1361"/>
          </w:tcPr>
          <w:p>
            <w:r/>
            <w:r>
              <w:rPr>
                <w:b w:val="0"/>
                <w:color w:val="BE5000"/>
              </w:rPr>
              <w:t>✱ 已改</w:t>
            </w:r>
          </w:p>
        </w:tc>
      </w:tr>
      <w:tr>
        <w:tc>
          <w:tcPr>
            <w:tcW w:type="dxa" w:w="907"/>
          </w:tcPr>
          <w:p>
            <w:r/>
            <w:r>
              <w:rPr>
                <w:b/>
              </w:rPr>
              <w:t>D</w:t>
            </w:r>
          </w:p>
        </w:tc>
        <w:tc>
          <w:tcPr>
            <w:tcW w:type="dxa" w:w="5669"/>
          </w:tcPr>
          <w:p>
            <w:r/>
            <w:r>
              <w:rPr>
                <w:b w:val="0"/>
              </w:rPr>
              <w:t>Provide independent and objective assurance directly to the audit committee regarding AI governance control effectiveness.</w:t>
            </w:r>
          </w:p>
        </w:tc>
        <w:tc>
          <w:tcPr>
            <w:tcW w:type="dxa" w:w="5669"/>
          </w:tcPr>
          <w:p>
            <w:r/>
            <w:r>
              <w:rPr>
                <w:b w:val="0"/>
              </w:rPr>
              <w:t>Provide independent and objective assurance directly to the audit committee regarding AI governance control effectiveness.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主解析（未改动）：Under the IIA Three Lines Model and ISO/IEC 42001 (Clause 5.3), the second line of defense (Risk Management and Compliance) is primarily responsible for establishing risk management policies and frameworks, setting limits, and providing objective challenge and oversight of first-line operational activities.</w:t>
      </w:r>
    </w:p>
    <w:p>
      <w:pPr>
        <w:spacing w:after="60"/>
      </w:pPr>
      <w:r>
        <w:rPr>
          <w:b/>
          <w:i w:val="0"/>
          <w:sz w:val="18"/>
        </w:rPr>
        <w:t>改写后的错误选项解析与错误类型：</w:t>
      </w:r>
    </w:p>
    <w:p>
      <w:pPr>
        <w:spacing w:after="60"/>
      </w:pPr>
      <w:r>
        <w:rPr>
          <w:b w:val="0"/>
          <w:i w:val="0"/>
          <w:sz w:val="18"/>
        </w:rPr>
        <w:t xml:space="preserve">  B（已改）B: Day-to-day operation and error correction belong to the management that owns the process, the first line, not to the second line that oversees it.　【类型：First-line duty assigned to the second line】</w:t>
      </w:r>
    </w:p>
    <w:p>
      <w:pPr>
        <w:spacing w:after="60"/>
      </w:pPr>
      <w:r>
        <w:rPr>
          <w:b w:val="0"/>
          <w:i w:val="0"/>
          <w:sz w:val="18"/>
        </w:rPr>
        <w:t xml:space="preserve">  C（已改）C: Approving releases and accepting residual risk are management decisions. The second line advises and challenges but does not take them over.　【类型：Management decision assigned to the second line】</w:t>
      </w:r>
    </w:p>
    <w:p>
      <w:pPr>
        <w:spacing w:after="60"/>
      </w:pPr>
      <w:r>
        <w:rPr>
          <w:b w:val="0"/>
          <w:i w:val="0"/>
          <w:sz w:val="18"/>
        </w:rPr>
        <w:t xml:space="preserve">  D（未改）Providing independent and objective assurance directly to executive management and the audit committee is the core mandate of the third line (Internal Audit), not the second line.　【类型：Third-line assurance duty assigned to the second line】</w:t>
      </w:r>
    </w:p>
    <w:p>
      <w:pPr>
        <w:spacing w:after="60"/>
      </w:pPr>
      <w:r>
        <w:rPr>
          <w:b w:val="0"/>
          <w:i w:val="0"/>
          <w:color w:val="5A5A5A"/>
          <w:sz w:val="17"/>
        </w:rPr>
        <w:t>出处（沿用原文，未核验）：IIA Three Lines Model (2020) Principles 2–4; NIST AI RMF 1.0 GOVERN 1.2, 1.3 &amp; 2.1; ISO/IEC 42001:2023 Cl. 5.3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27. 第三批 · LEAST · D1.5 Ethical Frameworks &amp; Responsible AI Principles</w:t>
      </w:r>
    </w:p>
    <w:p>
      <w:pPr>
        <w:spacing w:after="60"/>
      </w:pPr>
      <w:r>
        <w:rPr>
          <w:b w:val="0"/>
          <w:i w:val="0"/>
          <w:color w:val="5A5A5A"/>
          <w:sz w:val="17"/>
        </w:rPr>
        <w:t>ID：aaig-pipe-1791943073272-4-jq50e　难度：Intermediate</w:t>
      </w:r>
    </w:p>
    <w:p>
      <w:pPr>
        <w:spacing w:after="60"/>
      </w:pPr>
      <w:r>
        <w:rPr>
          <w:b w:val="0"/>
          <w:i w:val="0"/>
        </w:rPr>
        <w:t>情境：A multinational financial services institution is integrating responsible AI principles into its enterprise credit underwriting operations. The AI Governance Steering Committee has been directed to operationalize ethical frameworks, fairness metrics, and accountability structures across all AI-driven workflows.</w:t>
      </w:r>
    </w:p>
    <w:p>
      <w:pPr>
        <w:spacing w:after="60"/>
      </w:pPr>
      <w:r>
        <w:rPr>
          <w:b/>
          <w:i w:val="0"/>
        </w:rPr>
        <w:t>问题：Which of the following actions is the LEAST aligned with enterprise AI governance best practices for operationalizing responsible AI principles?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Authorizing the second-line risk management function to challenge fairness criteria and monitor adherence to AI governance policies.</w:t>
            </w:r>
          </w:p>
        </w:tc>
        <w:tc>
          <w:tcPr>
            <w:tcW w:type="dxa" w:w="5669"/>
          </w:tcPr>
          <w:p>
            <w:r/>
            <w:r>
              <w:rPr>
                <w:b w:val="0"/>
              </w:rPr>
              <w:t>Authorizing the second-line risk management function to challenge fairness criteria and monitor adherence to AI governance policies.</w:t>
            </w:r>
          </w:p>
        </w:tc>
        <w:tc>
          <w:tcPr>
            <w:tcW w:type="dxa" w:w="1361"/>
          </w:tcPr>
          <w:p>
            <w:r/>
            <w:r>
              <w:rPr>
                <w:b w:val="0"/>
                <w:color w:val="787878"/>
              </w:rPr>
              <w:t>未改</w:t>
            </w:r>
          </w:p>
        </w:tc>
      </w:tr>
      <w:tr>
        <w:tc>
          <w:tcPr>
            <w:tcW w:type="dxa" w:w="907"/>
          </w:tcPr>
          <w:p>
            <w:r/>
            <w:r>
              <w:rPr>
                <w:b/>
              </w:rPr>
              <w:t>B</w:t>
            </w:r>
          </w:p>
        </w:tc>
        <w:tc>
          <w:tcPr>
            <w:tcW w:type="dxa" w:w="5669"/>
          </w:tcPr>
          <w:p>
            <w:r/>
            <w:r>
              <w:rPr>
                <w:b w:val="0"/>
              </w:rPr>
              <w:t>Mandating that organizational ethical values be translated into verifiable, system-level metrics aligned with enterprise risk appetite.</w:t>
            </w:r>
          </w:p>
        </w:tc>
        <w:tc>
          <w:tcPr>
            <w:tcW w:type="dxa" w:w="5669"/>
          </w:tcPr>
          <w:p>
            <w:r/>
            <w:r>
              <w:rPr>
                <w:b w:val="0"/>
              </w:rPr>
              <w:t>Mandating that organizational ethical values be translated into verifiable, system-level metrics aligned with enterprise risk appetite.</w:t>
            </w:r>
          </w:p>
        </w:tc>
        <w:tc>
          <w:tcPr>
            <w:tcW w:type="dxa" w:w="1361"/>
          </w:tcPr>
          <w:p>
            <w:r/>
            <w:r>
              <w:rPr>
                <w:b w:val="0"/>
                <w:color w:val="787878"/>
              </w:rPr>
              <w:t>未改</w:t>
            </w:r>
          </w:p>
        </w:tc>
      </w:tr>
      <w:tr>
        <w:tc>
          <w:tcPr>
            <w:tcW w:type="dxa" w:w="907"/>
          </w:tcPr>
          <w:p>
            <w:r/>
            <w:r>
              <w:rPr>
                <w:b/>
              </w:rPr>
              <w:t>C</w:t>
            </w:r>
          </w:p>
        </w:tc>
        <w:tc>
          <w:tcPr>
            <w:tcW w:type="dxa" w:w="5669"/>
          </w:tcPr>
          <w:p>
            <w:r/>
            <w:r>
              <w:rPr>
                <w:b w:val="0"/>
              </w:rPr>
              <w:t>Requiring an ethical impact assessment to be conducted and reviewed before deploying customer-facing automated decision systems.</w:t>
            </w:r>
          </w:p>
        </w:tc>
        <w:tc>
          <w:tcPr>
            <w:tcW w:type="dxa" w:w="5669"/>
          </w:tcPr>
          <w:p>
            <w:r/>
            <w:r>
              <w:rPr>
                <w:b w:val="0"/>
              </w:rPr>
              <w:t>Requiring an ethical impact assessment to be conducted and reviewed before deploying customer-facing automated decision systems.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Allowing first-line model developers to unilaterally define acceptable demographic disparity thresholds based on model performance.</w:t>
            </w:r>
          </w:p>
        </w:tc>
        <w:tc>
          <w:tcPr>
            <w:tcW w:type="dxa" w:w="5669"/>
            <w:shd w:val="clear" w:color="auto" w:fill="FFF2CC"/>
          </w:tcPr>
          <w:p>
            <w:r/>
            <w:r>
              <w:rPr>
                <w:b/>
              </w:rPr>
              <w:t>Letting the model team set its own acceptable demographic disparity limits, based on the model's test performance.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主解析（未改动）：Allowing first-line engineering or development teams to unilaterally establish acceptable bias or disparity thresholds violates fundamental governance principles. Under ISO/IEC 42001 and NIST AI RMF (GOVERN 1.2), risk tolerance, ethical boundaries, and fairness thresholds must be anchored in top-down enterprise risk appetite and approved by designated governance bodies rather than dictated ad-hoc by technical feasibility or developer discretion.</w:t>
      </w:r>
    </w:p>
    <w:p>
      <w:pPr>
        <w:spacing w:after="60"/>
      </w:pPr>
      <w:r>
        <w:rPr>
          <w:b/>
          <w:i w:val="0"/>
          <w:sz w:val="18"/>
        </w:rPr>
        <w:t>改写后的错误选项解析与错误类型：</w:t>
      </w:r>
    </w:p>
    <w:p>
      <w:pPr>
        <w:spacing w:after="60"/>
      </w:pPr>
      <w:r>
        <w:rPr>
          <w:b w:val="0"/>
          <w:i w:val="0"/>
          <w:sz w:val="18"/>
        </w:rPr>
        <w:t xml:space="preserve">  A（未改）This is an appropriate practice adhering to the Three Lines Model; a common misconception regarding scope and authorization is that independent second-line oversight and challenge over metrics improperly restricts first-line operational autonomy.　【类型：Sound practice: second-line challenge of fairness criteria】</w:t>
      </w:r>
    </w:p>
    <w:p>
      <w:pPr>
        <w:spacing w:after="60"/>
      </w:pPr>
      <w:r>
        <w:rPr>
          <w:b w:val="0"/>
          <w:i w:val="0"/>
          <w:sz w:val="18"/>
        </w:rPr>
        <w:t xml:space="preserve">  B（未改）This is an appropriate and essential governance practice; a common misconception regarding priority is that ethical frameworks should remain high-level aspirational statements rather than actionable, measurable controls.　【类型：Sound practice: values translated into verifiable metrics】</w:t>
      </w:r>
    </w:p>
    <w:p>
      <w:pPr>
        <w:spacing w:after="60"/>
      </w:pPr>
      <w:r>
        <w:rPr>
          <w:b w:val="0"/>
          <w:i w:val="0"/>
          <w:sz w:val="18"/>
        </w:rPr>
        <w:t xml:space="preserve">  C（未改）This is an appropriate practice reflecting proactive governance; a common misconception regarding timing is that ethical and societal impact assessments belong only in post-deployment monitoring rather than prior to production release.　【类型：Sound practice: impact assessment before release】</w:t>
      </w:r>
    </w:p>
    <w:p>
      <w:pPr>
        <w:spacing w:after="60"/>
      </w:pPr>
      <w:r>
        <w:rPr>
          <w:b w:val="0"/>
          <w:i w:val="0"/>
          <w:color w:val="5A5A5A"/>
          <w:sz w:val="17"/>
        </w:rPr>
        <w:t>出处（沿用原文，未核验）：NIST AI RMF 1.0 GOVERN 1.2, 1.3 &amp; 2.1; IIA Three Lines Model (2020); OECD AI Principles (2024); ISO/IEC 42001:2023 Cl. 5 &amp; 6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28. 第三批 · LEAST · D1.9 Risk Appetite, Tolerance &amp; Continuous Oversight</w:t>
      </w:r>
    </w:p>
    <w:p>
      <w:pPr>
        <w:spacing w:after="60"/>
      </w:pPr>
      <w:r>
        <w:rPr>
          <w:b w:val="0"/>
          <w:i w:val="0"/>
          <w:color w:val="5A5A5A"/>
          <w:sz w:val="17"/>
        </w:rPr>
        <w:t>ID：aaig-pipe-1791941483700-19　难度：Director-Level</w:t>
      </w:r>
    </w:p>
    <w:p>
      <w:pPr>
        <w:spacing w:after="60"/>
      </w:pPr>
      <w:r>
        <w:rPr>
          <w:b w:val="0"/>
          <w:i w:val="0"/>
        </w:rPr>
        <w:t>情境：A multinational financial institution utilizes a credit decisioning AI system governed under an AI Management System aligned with ISO/IEC 42001 and NIST AI RMF. Real-time continuous monitoring telemetry reveals that demographic parity drift has breached the pre-approved enterprise risk tolerance threshold established by the board. The Chief Risk Officer and the AI Governance Committee convene to execute immediate continuous oversight and remediation controls.</w:t>
      </w:r>
    </w:p>
    <w:p>
      <w:pPr>
        <w:spacing w:after="60"/>
      </w:pPr>
      <w:r>
        <w:rPr>
          <w:b/>
          <w:i w:val="0"/>
        </w:rPr>
        <w:t>问题：Which of the following actions represents the LEAST defensible governance practice in response to this risk threshold breach?</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Authorizing first-line engineering teams to adjust risk tolerance limits dynamically in production to prevent service-level disruption while model retraining is underway.</w:t>
            </w:r>
          </w:p>
        </w:tc>
        <w:tc>
          <w:tcPr>
            <w:tcW w:type="dxa" w:w="5669"/>
            <w:shd w:val="clear" w:color="auto" w:fill="FFF2CC"/>
          </w:tcPr>
          <w:p>
            <w:r/>
            <w:r>
              <w:rPr>
                <w:b/>
              </w:rPr>
              <w:t>Letting the engineering team widen the tolerance band in production while retraining is under way, so the service keeps running without interruption.</w:t>
            </w:r>
          </w:p>
        </w:tc>
        <w:tc>
          <w:tcPr>
            <w:tcW w:type="dxa" w:w="1361"/>
          </w:tcPr>
          <w:p>
            <w:r/>
            <w:r>
              <w:rPr>
                <w:b w:val="0"/>
                <w:color w:val="BE5000"/>
              </w:rPr>
              <w:t>✱ 已改</w:t>
            </w:r>
          </w:p>
        </w:tc>
      </w:tr>
      <w:tr>
        <w:tc>
          <w:tcPr>
            <w:tcW w:type="dxa" w:w="907"/>
          </w:tcPr>
          <w:p>
            <w:r/>
            <w:r>
              <w:rPr>
                <w:b/>
              </w:rPr>
              <w:t>B</w:t>
            </w:r>
          </w:p>
        </w:tc>
        <w:tc>
          <w:tcPr>
            <w:tcW w:type="dxa" w:w="5669"/>
          </w:tcPr>
          <w:p>
            <w:r/>
            <w:r>
              <w:rPr>
                <w:b w:val="0"/>
              </w:rPr>
              <w:t>Suspending automated approvals and enforcing formal steering committee re-authorization before any updated model weights can be promoted back into the production pipeline.</w:t>
            </w:r>
          </w:p>
        </w:tc>
        <w:tc>
          <w:tcPr>
            <w:tcW w:type="dxa" w:w="5669"/>
          </w:tcPr>
          <w:p>
            <w:r/>
            <w:r>
              <w:rPr>
                <w:b w:val="0"/>
              </w:rPr>
              <w:t>Suspending automated approvals and enforcing formal steering committee re-authorization before any updated model weights can be promoted back into the production pipeline.</w:t>
            </w:r>
          </w:p>
        </w:tc>
        <w:tc>
          <w:tcPr>
            <w:tcW w:type="dxa" w:w="1361"/>
          </w:tcPr>
          <w:p>
            <w:r/>
            <w:r>
              <w:rPr>
                <w:b w:val="0"/>
                <w:color w:val="787878"/>
              </w:rPr>
              <w:t>未改</w:t>
            </w:r>
          </w:p>
        </w:tc>
      </w:tr>
      <w:tr>
        <w:tc>
          <w:tcPr>
            <w:tcW w:type="dxa" w:w="907"/>
          </w:tcPr>
          <w:p>
            <w:r/>
            <w:r>
              <w:rPr>
                <w:b/>
              </w:rPr>
              <w:t>C</w:t>
            </w:r>
          </w:p>
        </w:tc>
        <w:tc>
          <w:tcPr>
            <w:tcW w:type="dxa" w:w="5669"/>
          </w:tcPr>
          <w:p>
            <w:r/>
            <w:r>
              <w:rPr>
                <w:b w:val="0"/>
              </w:rPr>
              <w:t>Requiring the first-line operations team to log the breach as an operational risk event while the independent risk oversight function conducts ongoing tolerance verification.</w:t>
            </w:r>
          </w:p>
        </w:tc>
        <w:tc>
          <w:tcPr>
            <w:tcW w:type="dxa" w:w="5669"/>
          </w:tcPr>
          <w:p>
            <w:r/>
            <w:r>
              <w:rPr>
                <w:b w:val="0"/>
              </w:rPr>
              <w:t>Requiring the first-line operations team to log the breach as an operational risk event while the independent risk oversight function conducts ongoing tolerance verification.</w:t>
            </w:r>
          </w:p>
        </w:tc>
        <w:tc>
          <w:tcPr>
            <w:tcW w:type="dxa" w:w="1361"/>
          </w:tcPr>
          <w:p>
            <w:r/>
            <w:r>
              <w:rPr>
                <w:b w:val="0"/>
                <w:color w:val="787878"/>
              </w:rPr>
              <w:t>未改</w:t>
            </w:r>
          </w:p>
        </w:tc>
      </w:tr>
      <w:tr>
        <w:tc>
          <w:tcPr>
            <w:tcW w:type="dxa" w:w="907"/>
          </w:tcPr>
          <w:p>
            <w:r/>
            <w:r>
              <w:rPr>
                <w:b/>
              </w:rPr>
              <w:t>D</w:t>
            </w:r>
          </w:p>
        </w:tc>
        <w:tc>
          <w:tcPr>
            <w:tcW w:type="dxa" w:w="5669"/>
          </w:tcPr>
          <w:p>
            <w:r/>
            <w:r>
              <w:rPr>
                <w:b w:val="0"/>
              </w:rPr>
              <w:t>Mandating an immediate fail-safe fallback to manual human underwriting while directing the second-line risk team to perform an independent algorithmic bias audit.</w:t>
            </w:r>
          </w:p>
        </w:tc>
        <w:tc>
          <w:tcPr>
            <w:tcW w:type="dxa" w:w="5669"/>
          </w:tcPr>
          <w:p>
            <w:r/>
            <w:r>
              <w:rPr>
                <w:b w:val="0"/>
              </w:rPr>
              <w:t>Mandating an immediate fail-safe fallback to manual human underwriting while directing the second-line risk team to perform an independent algorithmic bias audit.</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主解析（未改动）：Authorizing first-line engineering teams to modify risk tolerance thresholds unilaterally to maintain uptime is an unacceptable governance failure. Under ISO/IEC 42001 and NIST AI RMF (GOVERN 1.2, MANAGE 2.4), risk appetite and tolerance thresholds are established by the governing body/second-line risk oversight and reflect organizational risk boundaries. Allowing operational teams to adjust thresholds dynamically bypasses accountability, suppresses critical risk indicators, and violates the Three Lines Model.</w:t>
      </w:r>
    </w:p>
    <w:p>
      <w:pPr>
        <w:spacing w:after="60"/>
      </w:pPr>
      <w:r>
        <w:rPr>
          <w:b/>
          <w:i w:val="0"/>
          <w:sz w:val="18"/>
        </w:rPr>
        <w:t>改写后的错误选项解析与错误类型：</w:t>
      </w:r>
    </w:p>
    <w:p>
      <w:pPr>
        <w:spacing w:after="60"/>
      </w:pPr>
      <w:r>
        <w:rPr>
          <w:b w:val="0"/>
          <w:i w:val="0"/>
          <w:sz w:val="18"/>
        </w:rPr>
        <w:t xml:space="preserve">  B（未改）This is a sound governance action reflecting correct sequencing and lifecycle control; requiring committee re-authorization prior to deployment ensures changes remain within enterprise risk appetite before reactivation.　【类型：Sound practice: suspension and formal re-authorization】</w:t>
      </w:r>
    </w:p>
    <w:p>
      <w:pPr>
        <w:spacing w:after="60"/>
      </w:pPr>
      <w:r>
        <w:rPr>
          <w:b w:val="0"/>
          <w:i w:val="0"/>
          <w:sz w:val="18"/>
        </w:rPr>
        <w:t xml:space="preserve">  C（未改）This is a sound governance action reflecting proper authorization boundaries; 1st-line owns incident logging while 2nd-line maintains independent oversight and continuous risk verification.　【类型：Sound practice: logging the breach with independent verification】</w:t>
      </w:r>
    </w:p>
    <w:p>
      <w:pPr>
        <w:spacing w:after="60"/>
      </w:pPr>
      <w:r>
        <w:rPr>
          <w:b w:val="0"/>
          <w:i w:val="0"/>
          <w:sz w:val="18"/>
        </w:rPr>
        <w:t xml:space="preserve">  D（未改）This is a sound governance action reflecting proper risk priority; prioritizing fairness and regulatory compliance over operational automation throughput via fallback controls aligns with NIST AI RMF MANAGE 2.4.　【类型：Sound practice: fallback with independent bias audit】</w:t>
      </w:r>
    </w:p>
    <w:p>
      <w:pPr>
        <w:spacing w:after="60"/>
      </w:pPr>
      <w:r>
        <w:rPr>
          <w:b w:val="0"/>
          <w:i w:val="0"/>
          <w:color w:val="5A5A5A"/>
          <w:sz w:val="17"/>
        </w:rPr>
        <w:t>出处（沿用原文，未核验）：NIST AI RMF 1.0 GOVERN 1.2, MANAGE 1.3, MANAGE 2.4 &amp; MANAGE 4.1; IIA Three Lines Model (2020) Principles 2 &amp; 3; ISO/IEC 42001:2023 Cl. 6.1 &amp;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29. 第三批 · MOST · D2.3 Privacy by Design &amp; Data Minimization</w:t>
      </w:r>
    </w:p>
    <w:p>
      <w:pPr>
        <w:spacing w:after="60"/>
      </w:pPr>
      <w:r>
        <w:rPr>
          <w:b w:val="0"/>
          <w:i w:val="0"/>
          <w:color w:val="5A5A5A"/>
          <w:sz w:val="17"/>
        </w:rPr>
        <w:t>ID：aaig-pipe-1791942430355-17　难度：Director-Level</w:t>
      </w:r>
    </w:p>
    <w:p>
      <w:pPr>
        <w:spacing w:after="60"/>
      </w:pPr>
      <w:r>
        <w:rPr>
          <w:b w:val="0"/>
          <w:i w:val="0"/>
        </w:rPr>
        <w:t>情境：A multinational financial services enterprise is architecting an enterprise feature store to train customer credit scoring models across multiple operational jurisdictions. The AI Governance Director identifies a critical risk of over-collection and indefinite retention of granular customer telemetry, which conflicts with statutory data minimization mandates and organizational risk appetite.</w:t>
      </w:r>
    </w:p>
    <w:p>
      <w:pPr>
        <w:spacing w:after="60"/>
      </w:pPr>
      <w:r>
        <w:rPr>
          <w:b/>
          <w:i w:val="0"/>
        </w:rPr>
        <w:t>问题：Which governance control mechanism is the MOST effective to ensure Privacy by Design and data minimization are integrated into the AI data architecture?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post-hoc generative adversarial anonymization filters across operational inference endpoints to dynamically redact sensitive demographic attributes from production output logs.</w:t>
            </w:r>
          </w:p>
        </w:tc>
        <w:tc>
          <w:tcPr>
            <w:tcW w:type="dxa" w:w="5669"/>
            <w:shd w:val="clear" w:color="auto" w:fill="FFF2CC"/>
          </w:tcPr>
          <w:p>
            <w:r/>
            <w:r>
              <w:rPr>
                <w:b/>
              </w:rPr>
              <w:t>Require a privacy review of every new feature request by the data protection office before it is added to the store.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Establishing automated data ingestion gateways that enforce purpose-bound schema validation and feature-level minimization before data persists into centralized feature stores.</w:t>
            </w:r>
          </w:p>
        </w:tc>
        <w:tc>
          <w:tcPr>
            <w:tcW w:type="dxa" w:w="5669"/>
            <w:shd w:val="clear" w:color="auto" w:fill="FFF2CC"/>
          </w:tcPr>
          <w:p>
            <w:r/>
            <w:r>
              <w:rPr>
                <w:b/>
              </w:rPr>
              <w:t>Enforce purpose-bound schema checks at the point of ingestion so unneeded features never reach the store.</w:t>
            </w:r>
          </w:p>
        </w:tc>
        <w:tc>
          <w:tcPr>
            <w:tcW w:type="dxa" w:w="1361"/>
          </w:tcPr>
          <w:p>
            <w:r/>
            <w:r>
              <w:rPr>
                <w:b w:val="0"/>
                <w:color w:val="BE5000"/>
              </w:rPr>
              <w:t>✱ 已改</w:t>
            </w:r>
          </w:p>
        </w:tc>
      </w:tr>
      <w:tr>
        <w:tc>
          <w:tcPr>
            <w:tcW w:type="dxa" w:w="907"/>
          </w:tcPr>
          <w:p>
            <w:r/>
            <w:r>
              <w:rPr>
                <w:b/>
              </w:rPr>
              <w:t>C</w:t>
            </w:r>
          </w:p>
        </w:tc>
        <w:tc>
          <w:tcPr>
            <w:tcW w:type="dxa" w:w="5669"/>
          </w:tcPr>
          <w:p>
            <w:r/>
            <w:r>
              <w:rPr>
                <w:b w:val="0"/>
              </w:rPr>
              <w:t>Executing comprehensive algorithmic privacy impact assessments immediately prior to commercial deployment to audit whether over-collected features can be pruned from weights.</w:t>
            </w:r>
          </w:p>
        </w:tc>
        <w:tc>
          <w:tcPr>
            <w:tcW w:type="dxa" w:w="5669"/>
          </w:tcPr>
          <w:p>
            <w:r/>
            <w:r>
              <w:rPr>
                <w:b w:val="0"/>
              </w:rPr>
              <w:t>Executing comprehensive algorithmic privacy impact assessments immediately prior to commercial deployment to audit whether over-collected features can be pruned from weights.</w:t>
            </w:r>
          </w:p>
        </w:tc>
        <w:tc>
          <w:tcPr>
            <w:tcW w:type="dxa" w:w="1361"/>
          </w:tcPr>
          <w:p>
            <w:r/>
            <w:r>
              <w:rPr>
                <w:b w:val="0"/>
                <w:color w:val="787878"/>
              </w:rPr>
              <w:t>未改</w:t>
            </w:r>
          </w:p>
        </w:tc>
      </w:tr>
      <w:tr>
        <w:tc>
          <w:tcPr>
            <w:tcW w:type="dxa" w:w="907"/>
          </w:tcPr>
          <w:p>
            <w:r/>
            <w:r>
              <w:rPr>
                <w:b/>
              </w:rPr>
              <w:t>D</w:t>
            </w:r>
          </w:p>
        </w:tc>
        <w:tc>
          <w:tcPr>
            <w:tcW w:type="dxa" w:w="5669"/>
          </w:tcPr>
          <w:p>
            <w:r/>
            <w:r>
              <w:rPr>
                <w:b w:val="0"/>
              </w:rPr>
              <w:t>Authorizing the 1st-line data engineering squads to establish discretionary feature retention thresholds based on local model accuracy requirements and project-level utility goals.</w:t>
            </w:r>
          </w:p>
        </w:tc>
        <w:tc>
          <w:tcPr>
            <w:tcW w:type="dxa" w:w="5669"/>
            <w:shd w:val="clear" w:color="auto" w:fill="FFF2CC"/>
          </w:tcPr>
          <w:p>
            <w:r/>
            <w:r>
              <w:rPr>
                <w:b/>
              </w:rPr>
              <w:t>Publish a data retention schedule for the feature store and ask teams to delete data when the schedule says so.</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8 and Annex A.7 Data for AI Systems) and Privacy by Design principles, data minimization must be architected as a proactive, structural control at the earliest point of entry. Enforcing purpose-bound schema validation and automated feature-level minimization at ingestion guarantees that excessive or non-permitted personal data is dropped or masked prior to entering enterprise AI storage, preventing regulatory non-compliance and downstream model contamination.</w:t>
      </w:r>
    </w:p>
    <w:p>
      <w:pPr>
        <w:spacing w:after="60"/>
      </w:pPr>
      <w:r>
        <w:rPr>
          <w:b/>
          <w:i w:val="0"/>
          <w:sz w:val="18"/>
        </w:rPr>
        <w:t>改写后的错误选项解析与错误类型：</w:t>
      </w:r>
    </w:p>
    <w:p>
      <w:pPr>
        <w:spacing w:after="60"/>
      </w:pPr>
      <w:r>
        <w:rPr>
          <w:b w:val="0"/>
          <w:i w:val="0"/>
          <w:sz w:val="18"/>
        </w:rPr>
        <w:t xml:space="preserve">  A（已改）A: A review of each request is a useful check, but it relies on case-by-case approval and does not build minimization into how data enters and persists in the store.　【类型：Case-by-case approval instead of a structural control】</w:t>
      </w:r>
    </w:p>
    <w:p>
      <w:pPr>
        <w:spacing w:after="60"/>
      </w:pPr>
      <w:r>
        <w:rPr>
          <w:b w:val="0"/>
          <w:i w:val="0"/>
          <w:sz w:val="18"/>
        </w:rPr>
        <w:t xml:space="preserve">  C（未改）Option C exhibits wrong sequence/timing by deferring privacy validation to late-stage pre-deployment, making remediation costly and failing to prevent the architectural aggregation of unauthorized training data.　【类型：Assessment late in the lifecycle instead of at design】</w:t>
      </w:r>
    </w:p>
    <w:p>
      <w:pPr>
        <w:spacing w:after="60"/>
      </w:pPr>
      <w:r>
        <w:rPr>
          <w:b w:val="0"/>
          <w:i w:val="0"/>
          <w:sz w:val="18"/>
        </w:rPr>
        <w:t xml:space="preserve">  D（已改）D: A schedule sets expectations, but without enforcement at ingestion it depends on teams remembering to delete, and over-collection still happens first.　【类型：Schedule without technical enforcement】</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30. 第三批 · PRIMARY · D2.4 Algorithmic Bias &amp; Representation Drift</w:t>
      </w:r>
    </w:p>
    <w:p>
      <w:pPr>
        <w:spacing w:after="60"/>
      </w:pPr>
      <w:r>
        <w:rPr>
          <w:b w:val="0"/>
          <w:i w:val="0"/>
          <w:color w:val="5A5A5A"/>
          <w:sz w:val="17"/>
        </w:rPr>
        <w:t>ID：aaig-pipe-1791941106674-13　难度：Director-Level</w:t>
      </w:r>
    </w:p>
    <w:p>
      <w:pPr>
        <w:spacing w:after="60"/>
      </w:pPr>
      <w:r>
        <w:rPr>
          <w:b w:val="0"/>
          <w:i w:val="0"/>
        </w:rPr>
        <w:t>情境：A multinational consumer lending institution detects significant representation drift in its production credit-scoring model due to sudden macroeconomic shifts, causing disparate impact metrics to breach initial baseline tolerances. The Chief Risk Officer tasks the AI Governance Director with establishing an enterprise-wide remediation strategy aligned with ISO/IEC 42001 and NIST AI RMF.</w:t>
      </w:r>
    </w:p>
    <w:p>
      <w:pPr>
        <w:spacing w:after="60"/>
      </w:pPr>
      <w:r>
        <w:rPr>
          <w:b/>
          <w:i w:val="0"/>
        </w:rPr>
        <w:t>问题：From an AI governance perspective, what is the PRIMARY responsibility of the AI Governance Director to address this systemic drift?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the data science team to apply synthetic data oversampling techniques to immediately restore demographic parity metrics.</w:t>
            </w:r>
          </w:p>
        </w:tc>
        <w:tc>
          <w:tcPr>
            <w:tcW w:type="dxa" w:w="5669"/>
            <w:shd w:val="clear" w:color="auto" w:fill="FFF2CC"/>
          </w:tcPr>
          <w:p>
            <w:r/>
            <w:r>
              <w:rPr>
                <w:b/>
              </w:rPr>
              <w:t>Commission an independent fairness audit of the production model and publish the results to regulators.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Define institutional risk tolerance thresholds and mandate formal conformity reviews prior to model retraining.</w:t>
            </w:r>
          </w:p>
        </w:tc>
        <w:tc>
          <w:tcPr>
            <w:tcW w:type="dxa" w:w="5669"/>
            <w:shd w:val="clear" w:color="auto" w:fill="FFF2CC"/>
          </w:tcPr>
          <w:p>
            <w:r/>
            <w:r>
              <w:rPr>
                <w:b/>
              </w:rPr>
              <w:t>Set the acceptable limits and require a formal review before any retraining begins on the drifted data.</w:t>
            </w:r>
          </w:p>
        </w:tc>
        <w:tc>
          <w:tcPr>
            <w:tcW w:type="dxa" w:w="1361"/>
          </w:tcPr>
          <w:p>
            <w:r/>
            <w:r>
              <w:rPr>
                <w:b w:val="0"/>
                <w:color w:val="BE5000"/>
              </w:rPr>
              <w:t>✱ 已改</w:t>
            </w:r>
          </w:p>
        </w:tc>
      </w:tr>
      <w:tr>
        <w:tc>
          <w:tcPr>
            <w:tcW w:type="dxa" w:w="907"/>
          </w:tcPr>
          <w:p>
            <w:r/>
            <w:r>
              <w:rPr>
                <w:b/>
              </w:rPr>
              <w:t>C</w:t>
            </w:r>
          </w:p>
        </w:tc>
        <w:tc>
          <w:tcPr>
            <w:tcW w:type="dxa" w:w="5669"/>
          </w:tcPr>
          <w:p>
            <w:r/>
            <w:r>
              <w:rPr>
                <w:b w:val="0"/>
              </w:rPr>
              <w:t>Authorize immediate deployment of an emergency retraining pipeline using rolling quarterly demographic records.</w:t>
            </w:r>
          </w:p>
        </w:tc>
        <w:tc>
          <w:tcPr>
            <w:tcW w:type="dxa" w:w="5669"/>
          </w:tcPr>
          <w:p>
            <w:r/>
            <w:r>
              <w:rPr>
                <w:b w:val="0"/>
              </w:rPr>
              <w:t>Authorize immediate deployment of an emergency retraining pipeline using rolling quarterly demographic records.</w:t>
            </w:r>
          </w:p>
        </w:tc>
        <w:tc>
          <w:tcPr>
            <w:tcW w:type="dxa" w:w="1361"/>
          </w:tcPr>
          <w:p>
            <w:r/>
            <w:r>
              <w:rPr>
                <w:b w:val="0"/>
                <w:color w:val="787878"/>
              </w:rPr>
              <w:t>未改</w:t>
            </w:r>
          </w:p>
        </w:tc>
      </w:tr>
      <w:tr>
        <w:tc>
          <w:tcPr>
            <w:tcW w:type="dxa" w:w="907"/>
          </w:tcPr>
          <w:p>
            <w:r/>
            <w:r>
              <w:rPr>
                <w:b/>
              </w:rPr>
              <w:t>D</w:t>
            </w:r>
          </w:p>
        </w:tc>
        <w:tc>
          <w:tcPr>
            <w:tcW w:type="dxa" w:w="5669"/>
          </w:tcPr>
          <w:p>
            <w:r/>
            <w:r>
              <w:rPr>
                <w:b w:val="0"/>
              </w:rPr>
              <w:t>Delegate the determination of permissible bias variance thresholds directly to the front-line machine learning engineering leads.</w:t>
            </w:r>
          </w:p>
        </w:tc>
        <w:tc>
          <w:tcPr>
            <w:tcW w:type="dxa" w:w="5669"/>
            <w:shd w:val="clear" w:color="auto" w:fill="FFF2CC"/>
          </w:tcPr>
          <w:p>
            <w:r/>
            <w:r>
              <w:rPr>
                <w:b/>
              </w:rPr>
              <w:t>Ask the chief risk officer to approve every retraining run individually for the next twelve months.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and director-level perspective (anchored in ISO/IEC 42001 Clause 6/8 and NIST AI RMF GOVERN 1.2 / MEASURE 2.7), the primary governance responsibility when handling representation drift and algorithmic bias is setting institutional risk tolerances, oversight frameworks, and mandating formal re-evaluation/conformity checkpoints before operational changes are enacted.</w:t>
      </w:r>
    </w:p>
    <w:p>
      <w:pPr>
        <w:spacing w:after="60"/>
      </w:pPr>
      <w:r>
        <w:rPr>
          <w:b/>
          <w:i w:val="0"/>
          <w:sz w:val="18"/>
        </w:rPr>
        <w:t>改写后的错误选项解析与错误类型：</w:t>
      </w:r>
    </w:p>
    <w:p>
      <w:pPr>
        <w:spacing w:after="60"/>
      </w:pPr>
      <w:r>
        <w:rPr>
          <w:b w:val="0"/>
          <w:i w:val="0"/>
          <w:sz w:val="18"/>
        </w:rPr>
        <w:t xml:space="preserve">  A（已改）A: An audit gives evidence, but the director's primary duty is to set the limits and decision path that govern the response, not only to document the problem.　【类型：Evidence gathering mistaken for the governance duty】</w:t>
      </w:r>
    </w:p>
    <w:p>
      <w:pPr>
        <w:spacing w:after="60"/>
      </w:pPr>
      <w:r>
        <w:rPr>
          <w:b w:val="0"/>
          <w:i w:val="0"/>
          <w:sz w:val="18"/>
        </w:rPr>
        <w:t xml:space="preserve">  C（未改）Option C represents an operational hotfix action (wrong sequence/timing) executed before updating governance thresholds, assessing systemic risk, or conducting conformity assessments.　【类型：Emergency retraining before limits and review exist】</w:t>
      </w:r>
    </w:p>
    <w:p>
      <w:pPr>
        <w:spacing w:after="60"/>
      </w:pPr>
      <w:r>
        <w:rPr>
          <w:b w:val="0"/>
          <w:i w:val="0"/>
          <w:sz w:val="18"/>
        </w:rPr>
        <w:t xml:space="preserve">  D（已改）D: Approving each run centralizes control, but without defined limits and review criteria the approver has no standard to apply.　【类型：Case-by-case approval without standards】</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31. 第三批 · MOST · D3.3 Model Drift, Degradation &amp; Performance KPIs</w:t>
      </w:r>
    </w:p>
    <w:p>
      <w:pPr>
        <w:spacing w:after="60"/>
      </w:pPr>
      <w:r>
        <w:rPr>
          <w:b w:val="0"/>
          <w:i w:val="0"/>
          <w:color w:val="5A5A5A"/>
          <w:sz w:val="17"/>
        </w:rPr>
        <w:t>ID：aaig-pipe-1791941502874-22　难度：Intermediate</w:t>
      </w:r>
    </w:p>
    <w:p>
      <w:pPr>
        <w:spacing w:after="60"/>
      </w:pPr>
      <w:r>
        <w:rPr>
          <w:b w:val="0"/>
          <w:i w:val="0"/>
        </w:rPr>
        <w:t>情境：A global retail bank has deployed a production credit-underwriting machine learning model. During routine quarterly surveillance, the model risk management team observes gradual concept drift and an upward trend in false negative rates that approaches the enterprise's established risk tolerance boundary.</w:t>
      </w:r>
    </w:p>
    <w:p>
      <w:pPr>
        <w:spacing w:after="60"/>
      </w:pPr>
      <w:r>
        <w:rPr>
          <w:b/>
          <w:i w:val="0"/>
        </w:rPr>
        <w:t>问题：Which of the following is the MOST effective governance control to address the emerging model degradation while maintaining accountability and compliance?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advanced hyperparameter optimization algorithms to continuously maximize raw predictive accuracy on incoming transactional datasets.</w:t>
            </w:r>
          </w:p>
        </w:tc>
        <w:tc>
          <w:tcPr>
            <w:tcW w:type="dxa" w:w="5669"/>
            <w:shd w:val="clear" w:color="auto" w:fill="FFF2CC"/>
          </w:tcPr>
          <w:p>
            <w:r/>
            <w:r>
              <w:rPr>
                <w:b/>
              </w:rPr>
              <w:t>Increase scheduled model validation from quarterly to monthly and report the results to the model risk committee.</w:t>
            </w:r>
          </w:p>
        </w:tc>
        <w:tc>
          <w:tcPr>
            <w:tcW w:type="dxa" w:w="1361"/>
          </w:tcPr>
          <w:p>
            <w:r/>
            <w:r>
              <w:rPr>
                <w:b w:val="0"/>
                <w:color w:val="BE5000"/>
              </w:rPr>
              <w:t>✱ 已改</w:t>
            </w:r>
          </w:p>
        </w:tc>
      </w:tr>
      <w:tr>
        <w:tc>
          <w:tcPr>
            <w:tcW w:type="dxa" w:w="907"/>
          </w:tcPr>
          <w:p>
            <w:r/>
            <w:r>
              <w:rPr>
                <w:b/>
              </w:rPr>
              <w:t>B</w:t>
            </w:r>
          </w:p>
        </w:tc>
        <w:tc>
          <w:tcPr>
            <w:tcW w:type="dxa" w:w="5669"/>
          </w:tcPr>
          <w:p>
            <w:r/>
            <w:r>
              <w:rPr>
                <w:b w:val="0"/>
              </w:rPr>
              <w:t>Retrain and hot-swap the degraded production model immediately into production before conducting formal root cause analysis and impact review.</w:t>
            </w:r>
          </w:p>
        </w:tc>
        <w:tc>
          <w:tcPr>
            <w:tcW w:type="dxa" w:w="5669"/>
          </w:tcPr>
          <w:p>
            <w:r/>
            <w:r>
              <w:rPr>
                <w:b w:val="0"/>
              </w:rPr>
              <w:t>Retrain and hot-swap the degraded production model immediately into production before conducting formal root cause analysis and impact review.</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Enforce automated drift alerts tied to predefined tolerance thresholds that trigger formal model validation and escalation protocols.</w:t>
            </w:r>
          </w:p>
        </w:tc>
        <w:tc>
          <w:tcPr>
            <w:tcW w:type="dxa" w:w="5669"/>
            <w:shd w:val="clear" w:color="auto" w:fill="FFF2CC"/>
          </w:tcPr>
          <w:p>
            <w:r/>
            <w:r>
              <w:rPr>
                <w:b/>
              </w:rPr>
              <w:t>Link drift alerts to agreed limits so that a breach starts formal validation and a defined chain of decisions.</w:t>
            </w:r>
          </w:p>
        </w:tc>
        <w:tc>
          <w:tcPr>
            <w:tcW w:type="dxa" w:w="1361"/>
          </w:tcPr>
          <w:p>
            <w:r/>
            <w:r>
              <w:rPr>
                <w:b w:val="0"/>
                <w:color w:val="BE5000"/>
              </w:rPr>
              <w:t>✱ 已改</w:t>
            </w:r>
          </w:p>
        </w:tc>
      </w:tr>
      <w:tr>
        <w:tc>
          <w:tcPr>
            <w:tcW w:type="dxa" w:w="907"/>
          </w:tcPr>
          <w:p>
            <w:r/>
            <w:r>
              <w:rPr>
                <w:b/>
              </w:rPr>
              <w:t>D</w:t>
            </w:r>
          </w:p>
        </w:tc>
        <w:tc>
          <w:tcPr>
            <w:tcW w:type="dxa" w:w="5669"/>
          </w:tcPr>
          <w:p>
            <w:r/>
            <w:r>
              <w:rPr>
                <w:b w:val="0"/>
              </w:rPr>
              <w:t>Authorize frontline operational staff to independently adjust decision thresholds whenever statistical drift metrics exceed their baseline targets.</w:t>
            </w:r>
          </w:p>
        </w:tc>
        <w:tc>
          <w:tcPr>
            <w:tcW w:type="dxa" w:w="5669"/>
            <w:shd w:val="clear" w:color="auto" w:fill="FFF2CC"/>
          </w:tcPr>
          <w:p>
            <w:r/>
            <w:r>
              <w:rPr>
                <w:b/>
              </w:rPr>
              <w:t>Add the model to the watch list of the model risk team, which will review its performance when the quarterly report is produced.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alignment with ISO/IEC 42001 Clause 9.1 (Monitoring, measurement, analysis, and evaluation) and NIST AI RMF MANAGE 2.4, the most effective governance control couples objective threshold monitoring directly to predefined organizational risk appetite, requiring formal second-line model validation and escalation pathways before corrective actions are finalized. This ensures that emerging degradation is identified systematically and remediated with full traceability and proper authorization.</w:t>
      </w:r>
    </w:p>
    <w:p>
      <w:pPr>
        <w:spacing w:after="60"/>
      </w:pPr>
      <w:r>
        <w:rPr>
          <w:b/>
          <w:i w:val="0"/>
          <w:sz w:val="18"/>
        </w:rPr>
        <w:t>改写后的错误选项解析与错误类型：</w:t>
      </w:r>
    </w:p>
    <w:p>
      <w:pPr>
        <w:spacing w:after="60"/>
      </w:pPr>
      <w:r>
        <w:rPr>
          <w:b w:val="0"/>
          <w:i w:val="0"/>
          <w:sz w:val="18"/>
        </w:rPr>
        <w:t xml:space="preserve">  A（已改）A: More frequent validation helps, but a fixed calendar still lets degradation run between reviews and ties no response to how bad the drift is.　【类型：Fixed cadence instead of a threshold-triggered response】</w:t>
      </w:r>
    </w:p>
    <w:p>
      <w:pPr>
        <w:spacing w:after="60"/>
      </w:pPr>
      <w:r>
        <w:rPr>
          <w:b w:val="0"/>
          <w:i w:val="0"/>
          <w:sz w:val="18"/>
        </w:rPr>
        <w:t xml:space="preserve">  B（未改）Option B represents wrong sequence and timing by immediately deploying a retrained model into production before conducting root cause analysis and independent impact evaluation, introducing potential unvetted systemic risks.　【类型：Fix applied before root cause analysis】</w:t>
      </w:r>
    </w:p>
    <w:p>
      <w:pPr>
        <w:spacing w:after="60"/>
      </w:pPr>
      <w:r>
        <w:rPr>
          <w:b w:val="0"/>
          <w:i w:val="0"/>
          <w:sz w:val="18"/>
        </w:rPr>
        <w:t xml:space="preserve">  D（已改）D: A watch list adds attention but not a trigger. The review still waits for the next quarterly cycle however quickly the model degrades.　【类型：Attention without a trigger】</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32. 第三批 · PRIMARY · D3.4 Explainability, Interpretability &amp; Transparency (XAI)</w:t>
      </w:r>
    </w:p>
    <w:p>
      <w:pPr>
        <w:spacing w:after="60"/>
      </w:pPr>
      <w:r>
        <w:rPr>
          <w:b w:val="0"/>
          <w:i w:val="0"/>
          <w:color w:val="5A5A5A"/>
          <w:sz w:val="17"/>
        </w:rPr>
        <w:t>ID：aaig-pipe-1791941470913-18　难度：Intermediate</w:t>
      </w:r>
    </w:p>
    <w:p>
      <w:pPr>
        <w:spacing w:after="60"/>
      </w:pPr>
      <w:r>
        <w:rPr>
          <w:b w:val="0"/>
          <w:i w:val="0"/>
        </w:rPr>
        <w:t>情境：A multinational financial services institution is integrating a deep neural network into its consumer underwriting architecture to automate high-volume credit decisions. To maintain compliance with consumer rights and supervisory guidance on adverse action notifications, the organization must establish an appropriate explainability and transparency framework.</w:t>
      </w:r>
    </w:p>
    <w:p>
      <w:pPr>
        <w:spacing w:after="60"/>
      </w:pPr>
      <w:r>
        <w:rPr>
          <w:b/>
          <w:i w:val="0"/>
        </w:rPr>
        <w:t>问题：From an AI governance perspective, what is the PRIMARY objective of the enterprise AI governance committee when establishing explainability and transparency requirements for this integrated system?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Standardizing exclusively on post-hoc local attribution algorithms across all model pipelines to optimize mathematical fidelity.</w:t>
            </w:r>
          </w:p>
        </w:tc>
        <w:tc>
          <w:tcPr>
            <w:tcW w:type="dxa" w:w="5669"/>
          </w:tcPr>
          <w:p>
            <w:r/>
            <w:r>
              <w:rPr>
                <w:b w:val="0"/>
              </w:rPr>
              <w:t>Standardizing exclusively on post-hoc local attribution algorithms across all model pipelines to optimize mathematical fidelity.</w:t>
            </w:r>
          </w:p>
        </w:tc>
        <w:tc>
          <w:tcPr>
            <w:tcW w:type="dxa" w:w="1361"/>
          </w:tcPr>
          <w:p>
            <w:r/>
            <w:r>
              <w:rPr>
                <w:b w:val="0"/>
                <w:color w:val="787878"/>
              </w:rPr>
              <w:t>未改</w:t>
            </w:r>
          </w:p>
        </w:tc>
      </w:tr>
      <w:tr>
        <w:tc>
          <w:tcPr>
            <w:tcW w:type="dxa" w:w="907"/>
          </w:tcPr>
          <w:p>
            <w:r/>
            <w:r>
              <w:rPr>
                <w:b/>
              </w:rPr>
              <w:t>B</w:t>
            </w:r>
          </w:p>
        </w:tc>
        <w:tc>
          <w:tcPr>
            <w:tcW w:type="dxa" w:w="5669"/>
          </w:tcPr>
          <w:p>
            <w:r/>
            <w:r>
              <w:rPr>
                <w:b w:val="0"/>
              </w:rPr>
              <w:t>Deploying consumer-facing explanation portals directly into production prior to formalizing explainability thresholds in enterprise policy.</w:t>
            </w:r>
          </w:p>
        </w:tc>
        <w:tc>
          <w:tcPr>
            <w:tcW w:type="dxa" w:w="5669"/>
            <w:shd w:val="clear" w:color="auto" w:fill="FFF2CC"/>
          </w:tcPr>
          <w:p>
            <w:r/>
            <w:r>
              <w:rPr>
                <w:b/>
              </w:rPr>
              <w:t>Commission a customer research study on how applicants want adverse-action reasons to be worded.</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Ensuring XAI capabilities align with stakeholder context, decision impact, and applicable regulatory obligations.</w:t>
            </w:r>
          </w:p>
        </w:tc>
        <w:tc>
          <w:tcPr>
            <w:tcW w:type="dxa" w:w="5669"/>
            <w:shd w:val="clear" w:color="auto" w:fill="FFF2CC"/>
          </w:tcPr>
          <w:p>
            <w:r/>
            <w:r>
              <w:rPr>
                <w:b/>
              </w:rPr>
              <w:t>Making sure explanation capabilities fit who needs them, how large the decision impact is, and what regulation requires.</w:t>
            </w:r>
          </w:p>
        </w:tc>
        <w:tc>
          <w:tcPr>
            <w:tcW w:type="dxa" w:w="1361"/>
          </w:tcPr>
          <w:p>
            <w:r/>
            <w:r>
              <w:rPr>
                <w:b w:val="0"/>
                <w:color w:val="BE5000"/>
              </w:rPr>
              <w:t>✱ 已改</w:t>
            </w:r>
          </w:p>
        </w:tc>
      </w:tr>
      <w:tr>
        <w:tc>
          <w:tcPr>
            <w:tcW w:type="dxa" w:w="907"/>
          </w:tcPr>
          <w:p>
            <w:r/>
            <w:r>
              <w:rPr>
                <w:b/>
              </w:rPr>
              <w:t>D</w:t>
            </w:r>
          </w:p>
        </w:tc>
        <w:tc>
          <w:tcPr>
            <w:tcW w:type="dxa" w:w="5669"/>
          </w:tcPr>
          <w:p>
            <w:r/>
            <w:r>
              <w:rPr>
                <w:b w:val="0"/>
              </w:rPr>
              <w:t>Requiring independent internal audit teams to execute and maintain operational feature-attribution routines across production inference engines.</w:t>
            </w:r>
          </w:p>
        </w:tc>
        <w:tc>
          <w:tcPr>
            <w:tcW w:type="dxa" w:w="5669"/>
            <w:shd w:val="clear" w:color="auto" w:fill="FFF2CC"/>
          </w:tcPr>
          <w:p>
            <w:r/>
            <w:r>
              <w:rPr>
                <w:b/>
              </w:rPr>
              <w:t>Require every model to be inherently interpretable so that no explanation tool is needed.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enterprise governance perspective (aligned with NIST AI RMF GOVERN 1.2/MEASURE 2.8 and ISO/IEC 42001 Annex B.7), the primary objective of establishing XAI requirements is to ensure that explanations and transparency mechanisms are tailored to the decision context, the level of risk/impact, and specific stakeholder and regulatory needs. XAI is not a one-size-fits-all technical exercise; governance must establish risk-calibrated requirements that satisfy legal mandates and enable meaningful accountability.</w:t>
      </w:r>
    </w:p>
    <w:p>
      <w:pPr>
        <w:spacing w:after="60"/>
      </w:pPr>
      <w:r>
        <w:rPr>
          <w:b/>
          <w:i w:val="0"/>
          <w:sz w:val="18"/>
        </w:rPr>
        <w:t>改写后的错误选项解析与错误类型：</w:t>
      </w:r>
    </w:p>
    <w:p>
      <w:pPr>
        <w:spacing w:after="60"/>
      </w:pPr>
      <w:r>
        <w:rPr>
          <w:b w:val="0"/>
          <w:i w:val="0"/>
          <w:sz w:val="18"/>
        </w:rPr>
        <w:t xml:space="preserve">  A（未改）Option A represents a wrong priority/direction misconception by narrowly prescribing specific technical methods (e.g., LIME or SHAP) rather than establishing governance oversight aligned to business risk, user comprehension, and regulatory compliance.　【类型：One technique mandated for every system】</w:t>
      </w:r>
    </w:p>
    <w:p>
      <w:pPr>
        <w:spacing w:after="60"/>
      </w:pPr>
      <w:r>
        <w:rPr>
          <w:b w:val="0"/>
          <w:i w:val="0"/>
          <w:sz w:val="18"/>
        </w:rPr>
        <w:t xml:space="preserve">  B（已改）B: Understanding customers is useful input, but the committee's primary objective is to set requirements that cover all stakeholders and regulatory duties, not to optimize wording for one group.　【类型：Single stakeholder input mistaken for the objective】</w:t>
      </w:r>
    </w:p>
    <w:p>
      <w:pPr>
        <w:spacing w:after="60"/>
      </w:pPr>
      <w:r>
        <w:rPr>
          <w:b w:val="0"/>
          <w:i w:val="0"/>
          <w:sz w:val="18"/>
        </w:rPr>
        <w:t xml:space="preserve">  D（已改）D: Interpretable models suit some uses, but requiring them everywhere ignores context and decision impact and may sacrifice needed performance.　【类型：Uniform technical mandate regardless of context】</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33. 第三批 · LEAST · D3.5 Auditability, Logging &amp; Continuous Assurance</w:t>
      </w:r>
    </w:p>
    <w:p>
      <w:pPr>
        <w:spacing w:after="60"/>
      </w:pPr>
      <w:r>
        <w:rPr>
          <w:b w:val="0"/>
          <w:i w:val="0"/>
          <w:color w:val="5A5A5A"/>
          <w:sz w:val="17"/>
        </w:rPr>
        <w:t>ID：aaig-pipe-1791941453475-14　难度：Intermediate</w:t>
      </w:r>
    </w:p>
    <w:p>
      <w:pPr>
        <w:spacing w:after="60"/>
      </w:pPr>
      <w:r>
        <w:rPr>
          <w:b w:val="0"/>
          <w:i w:val="0"/>
        </w:rPr>
        <w:t>情境：A multinational bank is operationalizing a high-risk credit decisioning AI model in alignment with ISO/IEC 42001 and NIST AI RMF recommendations. To ensure continuous assurance, compliance, and post-incident traceability, the AI Steering Committee is establishing operational logging and auditability baselines.</w:t>
      </w:r>
    </w:p>
    <w:p>
      <w:pPr>
        <w:spacing w:after="60"/>
      </w:pPr>
      <w:r>
        <w:rPr>
          <w:b/>
          <w:i w:val="0"/>
        </w:rPr>
        <w:t>问题：Which of the following practices is the LEAST acceptable from an enterprise AI governance and oversight perspective?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Prioritizing the capture of model version lineage, input distributions, and prediction confidence intervals to facilitate post-incident explainability.</w:t>
            </w:r>
          </w:p>
        </w:tc>
        <w:tc>
          <w:tcPr>
            <w:tcW w:type="dxa" w:w="5669"/>
          </w:tcPr>
          <w:p>
            <w:r/>
            <w:r>
              <w:rPr>
                <w:b w:val="0"/>
              </w:rPr>
              <w:t>Prioritizing the capture of model version lineage, input distributions, and prediction confidence intervals to facilitate post-incident explainability.</w:t>
            </w:r>
          </w:p>
        </w:tc>
        <w:tc>
          <w:tcPr>
            <w:tcW w:type="dxa" w:w="1361"/>
          </w:tcPr>
          <w:p>
            <w:r/>
            <w:r>
              <w:rPr>
                <w:b w:val="0"/>
                <w:color w:val="787878"/>
              </w:rPr>
              <w:t>未改</w:t>
            </w:r>
          </w:p>
        </w:tc>
      </w:tr>
      <w:tr>
        <w:tc>
          <w:tcPr>
            <w:tcW w:type="dxa" w:w="907"/>
          </w:tcPr>
          <w:p>
            <w:r/>
            <w:r>
              <w:rPr>
                <w:b/>
                <w:color w:val="00783C"/>
              </w:rPr>
              <w:t>B ✓</w:t>
            </w:r>
          </w:p>
        </w:tc>
        <w:tc>
          <w:tcPr>
            <w:tcW w:type="dxa" w:w="5669"/>
          </w:tcPr>
          <w:p>
            <w:r/>
            <w:r>
              <w:rPr>
                <w:b w:val="0"/>
              </w:rPr>
              <w:t>Permitting first-line AI operations teams to summarize or prune inference logs autonomously when storage thresholds are exceeded.</w:t>
            </w:r>
          </w:p>
        </w:tc>
        <w:tc>
          <w:tcPr>
            <w:tcW w:type="dxa" w:w="5669"/>
            <w:shd w:val="clear" w:color="auto" w:fill="FFF2CC"/>
          </w:tcPr>
          <w:p>
            <w:r/>
            <w:r>
              <w:rPr>
                <w:b/>
              </w:rPr>
              <w:t>Letting operations staff summarize or prune inference logs on their own whenever storage runs short on the platform.</w:t>
            </w:r>
          </w:p>
        </w:tc>
        <w:tc>
          <w:tcPr>
            <w:tcW w:type="dxa" w:w="1361"/>
          </w:tcPr>
          <w:p>
            <w:r/>
            <w:r>
              <w:rPr>
                <w:b w:val="0"/>
                <w:color w:val="BE5000"/>
              </w:rPr>
              <w:t>✱ 已改</w:t>
            </w:r>
          </w:p>
        </w:tc>
      </w:tr>
      <w:tr>
        <w:tc>
          <w:tcPr>
            <w:tcW w:type="dxa" w:w="907"/>
          </w:tcPr>
          <w:p>
            <w:r/>
            <w:r>
              <w:rPr>
                <w:b/>
              </w:rPr>
              <w:t>C</w:t>
            </w:r>
          </w:p>
        </w:tc>
        <w:tc>
          <w:tcPr>
            <w:tcW w:type="dxa" w:w="5669"/>
          </w:tcPr>
          <w:p>
            <w:r/>
            <w:r>
              <w:rPr>
                <w:b w:val="0"/>
              </w:rPr>
              <w:t>Standardizing log schema retention schedules and encryption protocols across all environments prior to promoting the model into live production.</w:t>
            </w:r>
          </w:p>
        </w:tc>
        <w:tc>
          <w:tcPr>
            <w:tcW w:type="dxa" w:w="5669"/>
          </w:tcPr>
          <w:p>
            <w:r/>
            <w:r>
              <w:rPr>
                <w:b w:val="0"/>
              </w:rPr>
              <w:t>Standardizing log schema retention schedules and encryption protocols across all environments prior to promoting the model into live production.</w:t>
            </w:r>
          </w:p>
        </w:tc>
        <w:tc>
          <w:tcPr>
            <w:tcW w:type="dxa" w:w="1361"/>
          </w:tcPr>
          <w:p>
            <w:r/>
            <w:r>
              <w:rPr>
                <w:b w:val="0"/>
                <w:color w:val="787878"/>
              </w:rPr>
              <w:t>未改</w:t>
            </w:r>
          </w:p>
        </w:tc>
      </w:tr>
      <w:tr>
        <w:tc>
          <w:tcPr>
            <w:tcW w:type="dxa" w:w="907"/>
          </w:tcPr>
          <w:p>
            <w:r/>
            <w:r>
              <w:rPr>
                <w:b/>
              </w:rPr>
              <w:t>D</w:t>
            </w:r>
          </w:p>
        </w:tc>
        <w:tc>
          <w:tcPr>
            <w:tcW w:type="dxa" w:w="5669"/>
          </w:tcPr>
          <w:p>
            <w:r/>
            <w:r>
              <w:rPr>
                <w:b w:val="0"/>
              </w:rPr>
              <w:t>Granting independent internal audit teams direct, read-only access to centralized audit repositories to conduct periodic conformity assessments.</w:t>
            </w:r>
          </w:p>
        </w:tc>
        <w:tc>
          <w:tcPr>
            <w:tcW w:type="dxa" w:w="5669"/>
          </w:tcPr>
          <w:p>
            <w:r/>
            <w:r>
              <w:rPr>
                <w:b w:val="0"/>
              </w:rPr>
              <w:t>Granting independent internal audit teams direct, read-only access to centralized audit repositories to conduct periodic conformity assessments.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主解析（未改动）：Allowing first-line operations teams to unilaterally prune or summarize operational inference logs compromises evidentiary integrity, non-repudiation, and auditability. Under ISO/IEC 42001 (Clause 9 and Annex A.9) and NIST AI RMF (GOVERN 4.1, MEASURE 2.6), log retention and alteration must be governed by strict policies and second-line oversight to prevent loss of critical audit trails needed for forensic analysis and regulatory scrutiny.</w:t>
      </w:r>
    </w:p>
    <w:p>
      <w:pPr>
        <w:spacing w:after="60"/>
      </w:pPr>
      <w:r>
        <w:rPr>
          <w:b/>
          <w:i w:val="0"/>
          <w:sz w:val="18"/>
        </w:rPr>
        <w:t>改写后的错误选项解析与错误类型：</w:t>
      </w:r>
    </w:p>
    <w:p>
      <w:pPr>
        <w:spacing w:after="60"/>
      </w:pPr>
      <w:r>
        <w:rPr>
          <w:b w:val="0"/>
          <w:i w:val="0"/>
          <w:sz w:val="18"/>
        </w:rPr>
        <w:t xml:space="preserve">  A（未改）This is an acceptable and foundational practice that correctly prioritizes capturing critical metadata and model state information necessary for post-hoc explainability and bias investigation.　【类型：Sound practice: lineage and confidence capture for explainability】</w:t>
      </w:r>
    </w:p>
    <w:p>
      <w:pPr>
        <w:spacing w:after="60"/>
      </w:pPr>
      <w:r>
        <w:rPr>
          <w:b w:val="0"/>
          <w:i w:val="0"/>
          <w:sz w:val="18"/>
        </w:rPr>
        <w:t xml:space="preserve">  C（未改）This is an acceptable and necessary sequence control ensuring that data protection, compliance retention, and schema consistency are established before live deployment rather than retrofitted.　【类型：Sound practice: standardized retention and encryption】</w:t>
      </w:r>
    </w:p>
    <w:p>
      <w:pPr>
        <w:spacing w:after="60"/>
      </w:pPr>
      <w:r>
        <w:rPr>
          <w:b w:val="0"/>
          <w:i w:val="0"/>
          <w:sz w:val="18"/>
        </w:rPr>
        <w:t xml:space="preserve">  D（未改）This is an acceptable governance practice that upholds the Three Lines Model by providing third-line assurance with unmediated, read-only access to verify compliance independently.　【类型：Sound practice: independent read-only access for audit】</w:t>
      </w:r>
    </w:p>
    <w:p>
      <w:pPr>
        <w:spacing w:after="60"/>
      </w:pPr>
      <w:r>
        <w:rPr>
          <w:b w:val="0"/>
          <w:i w:val="0"/>
          <w:color w:val="5A5A5A"/>
          <w:sz w:val="17"/>
        </w:rPr>
        <w:t>出处（沿用原文，未核验）：EU AI Act Arts. 12, 19 &amp; 26(6); NIST AI RMF 1.0 MEASURE 2.4, 2.6, 2.7 &amp; MANAGE 4.1; IIA Three Lines Model (2020); ISO/IEC 42001:2023 Cl. 9.1 (verify logging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34. 第三批 · PRIMARY · D3.6 Third-Party &amp; Supply Chain AI Risk Management</w:t>
      </w:r>
    </w:p>
    <w:p>
      <w:pPr>
        <w:spacing w:after="60"/>
      </w:pPr>
      <w:r>
        <w:rPr>
          <w:b w:val="0"/>
          <w:i w:val="0"/>
          <w:color w:val="5A5A5A"/>
          <w:sz w:val="17"/>
        </w:rPr>
        <w:t>ID：aaig-pipe-1791941407823-3　难度：Director-Level</w:t>
      </w:r>
    </w:p>
    <w:p>
      <w:pPr>
        <w:spacing w:after="60"/>
      </w:pPr>
      <w:r>
        <w:rPr>
          <w:b w:val="0"/>
          <w:i w:val="0"/>
        </w:rPr>
        <w:t>情境：A multinational financial enterprise is integrating a commercial third-party foundation model via API to support automated underwriting and customer credit decisioning. To ensure alignment with ISO/IEC 42001 and NIST AI RMF GOVERN functions, the enterprise AI Governance Committee must establish third-party supply chain oversight prior to full operational integration.</w:t>
      </w:r>
    </w:p>
    <w:p>
      <w:pPr>
        <w:spacing w:after="60"/>
      </w:pPr>
      <w:r>
        <w:rPr>
          <w:b/>
          <w:i w:val="0"/>
        </w:rPr>
        <w:t>问题：What is the PRIMARY objective of the AI Governance Committee when managing this third-party AI supply chain risk?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Implement automated continuous testing pipelines and technical benchmarks to evaluate the vendor's foundation model against adversarial perturbation attacks.</w:t>
            </w:r>
          </w:p>
        </w:tc>
        <w:tc>
          <w:tcPr>
            <w:tcW w:type="dxa" w:w="5669"/>
            <w:shd w:val="clear" w:color="auto" w:fill="FFF2CC"/>
          </w:tcPr>
          <w:p>
            <w:r/>
            <w:r>
              <w:rPr>
                <w:b/>
              </w:rPr>
              <w:t>Choose the supplier with the most recognized security certifications and rely on them for assurance.</w:t>
            </w:r>
          </w:p>
        </w:tc>
        <w:tc>
          <w:tcPr>
            <w:tcW w:type="dxa" w:w="1361"/>
          </w:tcPr>
          <w:p>
            <w:r/>
            <w:r>
              <w:rPr>
                <w:b w:val="0"/>
                <w:color w:val="BE5000"/>
              </w:rPr>
              <w:t>✱ 已改</w:t>
            </w:r>
          </w:p>
        </w:tc>
      </w:tr>
      <w:tr>
        <w:tc>
          <w:tcPr>
            <w:tcW w:type="dxa" w:w="907"/>
          </w:tcPr>
          <w:p>
            <w:r/>
            <w:r>
              <w:rPr>
                <w:b/>
              </w:rPr>
              <w:t>B</w:t>
            </w:r>
          </w:p>
        </w:tc>
        <w:tc>
          <w:tcPr>
            <w:tcW w:type="dxa" w:w="5669"/>
          </w:tcPr>
          <w:p>
            <w:r/>
            <w:r>
              <w:rPr>
                <w:b w:val="0"/>
              </w:rPr>
              <w:t>Execute post-deployment model performance monitoring and data drift remediation before establishing contractual audit clauses.</w:t>
            </w:r>
          </w:p>
        </w:tc>
        <w:tc>
          <w:tcPr>
            <w:tcW w:type="dxa" w:w="5669"/>
          </w:tcPr>
          <w:p>
            <w:r/>
            <w:r>
              <w:rPr>
                <w:b w:val="0"/>
              </w:rPr>
              <w:t>Execute post-deployment model performance monitoring and data drift remediation before establishing contractual audit clauses.</w:t>
            </w:r>
          </w:p>
        </w:tc>
        <w:tc>
          <w:tcPr>
            <w:tcW w:type="dxa" w:w="1361"/>
          </w:tcPr>
          <w:p>
            <w:r/>
            <w:r>
              <w:rPr>
                <w:b w:val="0"/>
                <w:color w:val="787878"/>
              </w:rPr>
              <w:t>未改</w:t>
            </w:r>
          </w:p>
        </w:tc>
      </w:tr>
      <w:tr>
        <w:tc>
          <w:tcPr>
            <w:tcW w:type="dxa" w:w="907"/>
          </w:tcPr>
          <w:p>
            <w:r/>
            <w:r>
              <w:rPr>
                <w:b/>
              </w:rPr>
              <w:t>C</w:t>
            </w:r>
          </w:p>
        </w:tc>
        <w:tc>
          <w:tcPr>
            <w:tcW w:type="dxa" w:w="5669"/>
          </w:tcPr>
          <w:p>
            <w:r/>
            <w:r>
              <w:rPr>
                <w:b w:val="0"/>
              </w:rPr>
              <w:t>Authorize the first-line development team to independently negotiate indemnification thresholds and accept residual operational risk for the procured model.</w:t>
            </w:r>
          </w:p>
        </w:tc>
        <w:tc>
          <w:tcPr>
            <w:tcW w:type="dxa" w:w="5669"/>
            <w:shd w:val="clear" w:color="auto" w:fill="FFF2CC"/>
          </w:tcPr>
          <w:p>
            <w:r/>
            <w:r>
              <w:rPr>
                <w:b/>
              </w:rPr>
              <w:t>Keep a second foundation model as a standby so the service can switch suppliers quickly if needed.</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governance criteria and binding contractual terms defining accountability, auditability, and risk allocation across the AI supply chain.</w:t>
            </w:r>
          </w:p>
        </w:tc>
        <w:tc>
          <w:tcPr>
            <w:tcW w:type="dxa" w:w="5669"/>
            <w:shd w:val="clear" w:color="auto" w:fill="FFF2CC"/>
          </w:tcPr>
          <w:p>
            <w:r/>
            <w:r>
              <w:rPr>
                <w:b/>
              </w:rPr>
              <w:t>Set the criteria and binding contract terms that fix who answers for outcomes, who can audit, and who bears which risk.</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8.2 and Annex A.8) and NIST AI RMF (GOVERN 6), the primary objective of enterprise AI governance for third-party systems is establishing top-down governance requirements, clear accountability, audit rights, and liability/risk allocation across suppliers. Without legally binding contractual commitments regarding transparency, data usage, performance verification, and auditability, technical monitoring and risk containment cannot be enforced.</w:t>
      </w:r>
    </w:p>
    <w:p>
      <w:pPr>
        <w:spacing w:after="60"/>
      </w:pPr>
      <w:r>
        <w:rPr>
          <w:b/>
          <w:i w:val="0"/>
          <w:sz w:val="18"/>
        </w:rPr>
        <w:t>改写后的错误选项解析与错误类型：</w:t>
      </w:r>
    </w:p>
    <w:p>
      <w:pPr>
        <w:spacing w:after="60"/>
      </w:pPr>
      <w:r>
        <w:rPr>
          <w:b w:val="0"/>
          <w:i w:val="0"/>
          <w:sz w:val="18"/>
        </w:rPr>
        <w:t xml:space="preserve">  A（已改）A: Certifications are useful signals, but they describe the supplier's own controls, not how accountability, audit rights and risk are shared with the enterprise.　【类型：Supplier certification mistaken for allocated accountability】</w:t>
      </w:r>
    </w:p>
    <w:p>
      <w:pPr>
        <w:spacing w:after="60"/>
      </w:pPr>
      <w:r>
        <w:rPr>
          <w:b w:val="0"/>
          <w:i w:val="0"/>
          <w:sz w:val="18"/>
        </w:rPr>
        <w:t xml:space="preserve">  B（未改）Attempting operational drift remediation and post-deployment monitoring before establishing contractual audit rights and procurement controls is an inverted workflow (wrong sequence) that lacks legal enforceability.　【类型：Monitoring before contractual audit rights exist】</w:t>
      </w:r>
    </w:p>
    <w:p>
      <w:pPr>
        <w:spacing w:after="60"/>
      </w:pPr>
      <w:r>
        <w:rPr>
          <w:b w:val="0"/>
          <w:i w:val="0"/>
          <w:sz w:val="18"/>
        </w:rPr>
        <w:t xml:space="preserve">  C（已改）C: A standby supplier supports resilience, but the committee's primary objective is to set the criteria and terms that apply to whichever supplier is used.　【类型：Resilience measure mistaken for governing criteria】</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35. 第三批 · MOST · D1.8 Framework Mapping (NIST AI RMF GOVERN/MAP/MEASURE/MANAGE)</w:t>
      </w:r>
    </w:p>
    <w:p>
      <w:pPr>
        <w:spacing w:after="60"/>
      </w:pPr>
      <w:r>
        <w:rPr>
          <w:b w:val="0"/>
          <w:i w:val="0"/>
          <w:color w:val="5A5A5A"/>
          <w:sz w:val="17"/>
        </w:rPr>
        <w:t>ID：aaig-pipe-1791941527214-27　难度：Director-Level</w:t>
      </w:r>
    </w:p>
    <w:p>
      <w:pPr>
        <w:spacing w:after="60"/>
      </w:pPr>
      <w:r>
        <w:rPr>
          <w:b w:val="0"/>
          <w:i w:val="0"/>
        </w:rPr>
        <w:t>情境：A global financial enterprise is standardizing its decentralized artificial intelligence implementations against the NIST AI Risk Management Framework (NIST AI RMF 1.0). Following the completion of contextual impact profiling (MAP) and empirical risk evaluations (MEASURE), several business units continue to deploy models without systematic risk remediation or residual risk acceptance. The AI Governance Director must implement a formal mechanism to ensure identified risks directly drive treatment and monitoring in the MANAGE function.</w:t>
      </w:r>
    </w:p>
    <w:p>
      <w:pPr>
        <w:spacing w:after="60"/>
      </w:pPr>
      <w:r>
        <w:rPr>
          <w:b/>
          <w:i w:val="0"/>
        </w:rPr>
        <w:t>问题：Which control is the MOST effective for operationalizing the transition from MAP and MEASURE into the MANAGE function across enterprise AI deployments?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model telemetry pipelines across production clusters to continuously benchmark predictive accuracy against baseline validation metrics.</w:t>
            </w:r>
          </w:p>
        </w:tc>
        <w:tc>
          <w:tcPr>
            <w:tcW w:type="dxa" w:w="5669"/>
            <w:shd w:val="clear" w:color="auto" w:fill="FFF2CC"/>
          </w:tcPr>
          <w:p>
            <w:r/>
            <w:r>
              <w:rPr>
                <w:b/>
              </w:rPr>
              <w:t>Hold a lessons-learned workshop after each MEASURE cycle and circulate the findings to all model owners.</w:t>
            </w:r>
          </w:p>
        </w:tc>
        <w:tc>
          <w:tcPr>
            <w:tcW w:type="dxa" w:w="1361"/>
          </w:tcPr>
          <w:p>
            <w:r/>
            <w:r>
              <w:rPr>
                <w:b w:val="0"/>
                <w:color w:val="BE5000"/>
              </w:rPr>
              <w:t>✱ 已改</w:t>
            </w:r>
          </w:p>
        </w:tc>
      </w:tr>
      <w:tr>
        <w:tc>
          <w:tcPr>
            <w:tcW w:type="dxa" w:w="907"/>
          </w:tcPr>
          <w:p>
            <w:r/>
            <w:r>
              <w:rPr>
                <w:b/>
              </w:rPr>
              <w:t>B</w:t>
            </w:r>
          </w:p>
        </w:tc>
        <w:tc>
          <w:tcPr>
            <w:tcW w:type="dxa" w:w="5669"/>
          </w:tcPr>
          <w:p>
            <w:r/>
            <w:r>
              <w:rPr>
                <w:b w:val="0"/>
              </w:rPr>
              <w:t>Execute automated decommission protocols for any model that experiences performance degradation prior to updating risk categorization profiles in the central inventory.</w:t>
            </w:r>
          </w:p>
        </w:tc>
        <w:tc>
          <w:tcPr>
            <w:tcW w:type="dxa" w:w="5669"/>
          </w:tcPr>
          <w:p>
            <w:r/>
            <w:r>
              <w:rPr>
                <w:b w:val="0"/>
              </w:rPr>
              <w:t>Execute automated decommission protocols for any model that experiences performance degradation prior to updating risk categorization profiles in the central inventory.</w:t>
            </w:r>
          </w:p>
        </w:tc>
        <w:tc>
          <w:tcPr>
            <w:tcW w:type="dxa" w:w="1361"/>
          </w:tcPr>
          <w:p>
            <w:r/>
            <w:r>
              <w:rPr>
                <w:b w:val="0"/>
                <w:color w:val="787878"/>
              </w:rPr>
              <w:t>未改</w:t>
            </w:r>
          </w:p>
        </w:tc>
      </w:tr>
      <w:tr>
        <w:tc>
          <w:tcPr>
            <w:tcW w:type="dxa" w:w="907"/>
          </w:tcPr>
          <w:p>
            <w:r/>
            <w:r>
              <w:rPr>
                <w:b/>
              </w:rPr>
              <w:t>C</w:t>
            </w:r>
          </w:p>
        </w:tc>
        <w:tc>
          <w:tcPr>
            <w:tcW w:type="dxa" w:w="5669"/>
          </w:tcPr>
          <w:p>
            <w:r/>
            <w:r>
              <w:rPr>
                <w:b w:val="0"/>
              </w:rPr>
              <w:t>Authorize first-line model development teams to self-certify risk mitigations and adjust residual risk classifications based on domain-specific testing results.</w:t>
            </w:r>
          </w:p>
        </w:tc>
        <w:tc>
          <w:tcPr>
            <w:tcW w:type="dxa" w:w="5669"/>
            <w:shd w:val="clear" w:color="auto" w:fill="FFF2CC"/>
          </w:tcPr>
          <w:p>
            <w:r/>
            <w:r>
              <w:rPr>
                <w:b/>
              </w:rPr>
              <w:t>Rank all risks found in MEASURE by severity and publish the ranking in the central inventory.</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Integrate quantitative thresholds from MEASURE into defined risk treatment plans that require second-line sign-off and ongoing residual risk monitoring.</w:t>
            </w:r>
          </w:p>
        </w:tc>
        <w:tc>
          <w:tcPr>
            <w:tcW w:type="dxa" w:w="5669"/>
            <w:shd w:val="clear" w:color="auto" w:fill="FFF2CC"/>
          </w:tcPr>
          <w:p>
            <w:r/>
            <w:r>
              <w:rPr>
                <w:b/>
              </w:rPr>
              <w:t>Turn MEASURE thresholds into risk treatment plans with second-line sign-off and ongoing residual risk checks.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the NIST AI RMF 1.0, the MANAGE function focuses on allocating resources to risk treatment, prioritizing responses based on impacts identified in MAP and quantified in MEASURE, and continuously monitoring residual risk. To operationalize governance effectively, risk metrics and evaluation outcomes must map directly into formal risk treatment options (mitigate, transfer, avoid, or accept) that align with enterprise risk appetite, supported by objective second-line oversight and verification.</w:t>
      </w:r>
    </w:p>
    <w:p>
      <w:pPr>
        <w:spacing w:after="60"/>
      </w:pPr>
      <w:r>
        <w:rPr>
          <w:b/>
          <w:i w:val="0"/>
          <w:sz w:val="18"/>
        </w:rPr>
        <w:t>改写后的错误选项解析与错误类型：</w:t>
      </w:r>
    </w:p>
    <w:p>
      <w:pPr>
        <w:spacing w:after="60"/>
      </w:pPr>
      <w:r>
        <w:rPr>
          <w:b w:val="0"/>
          <w:i w:val="0"/>
          <w:sz w:val="18"/>
        </w:rPr>
        <w:t xml:space="preserve">  A（已改）A: A workshop shares learning, but it does not turn measurement results into decisions, owners and actions, which is what the MANAGE function requires.　【类型：Learning activity mistaken for risk response】</w:t>
      </w:r>
    </w:p>
    <w:p>
      <w:pPr>
        <w:spacing w:after="60"/>
      </w:pPr>
      <w:r>
        <w:rPr>
          <w:b w:val="0"/>
          <w:i w:val="0"/>
          <w:sz w:val="18"/>
        </w:rPr>
        <w:t xml:space="preserve">  B（未改）Option B represents an improper sequence and premature operational action by triggering automated decommission before risk profiles and governance registries are formally reviewed and updated.　【类型：Decommissioning before the inventory classification is updated】</w:t>
      </w:r>
    </w:p>
    <w:p>
      <w:pPr>
        <w:spacing w:after="60"/>
      </w:pPr>
      <w:r>
        <w:rPr>
          <w:b w:val="0"/>
          <w:i w:val="0"/>
          <w:sz w:val="18"/>
        </w:rPr>
        <w:t xml:space="preserve">  C（已改）C: Ranking is useful prioritization, but without treatment plans, owners and sign-off nothing is done about the ranked risks.　【类型：Prioritization without treatment】</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36. 第四批 · MOST · D1.8 Framework Mapping (NIST AI RMF GOVERN/MAP/MEASURE/MANAGE)</w:t>
      </w:r>
    </w:p>
    <w:p>
      <w:pPr>
        <w:spacing w:after="60"/>
      </w:pPr>
      <w:r>
        <w:rPr>
          <w:b w:val="0"/>
          <w:i w:val="0"/>
          <w:color w:val="5A5A5A"/>
          <w:sz w:val="17"/>
        </w:rPr>
        <w:t>ID：aaig-pipe-1791943131382-17-7wx7z　难度：Director-Level</w:t>
      </w:r>
    </w:p>
    <w:p>
      <w:pPr>
        <w:spacing w:after="60"/>
      </w:pPr>
      <w:r>
        <w:rPr>
          <w:b w:val="0"/>
          <w:i w:val="0"/>
        </w:rPr>
        <w:t>情境：A diversified financial services firm is rapidly deploying generative AI models across retail banking and underwriting, resulting in fragmented risk evaluations across decentralized product teams. The Chief Risk Officer observes that while technical teams calculate disparate fairness and performance metrics, executive leadership lacks a systematic mechanism to evaluate aggregate residual risk against board-approved risk appetite. To align with the NIST AI Risk Management Framework (AI RMF 1.0), the organization must unify its approach across the lifecycle.</w:t>
      </w:r>
    </w:p>
    <w:p>
      <w:pPr>
        <w:spacing w:after="60"/>
      </w:pPr>
      <w:r>
        <w:rPr>
          <w:b/>
          <w:i w:val="0"/>
        </w:rPr>
        <w:t>问题：In accordance with the NIST AI RMF, which of the following governance actions is the MOST effective to resolve this systemic oversight gap?</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automated continuous monitoring platforms across all active production pipelines to track precision degradation, latency, and drift metrics in real time.</w:t>
            </w:r>
          </w:p>
        </w:tc>
        <w:tc>
          <w:tcPr>
            <w:tcW w:type="dxa" w:w="5669"/>
            <w:shd w:val="clear" w:color="auto" w:fill="FFF2CC"/>
          </w:tcPr>
          <w:p>
            <w:r/>
            <w:r>
              <w:rPr>
                <w:b/>
              </w:rPr>
              <w:t>Ask each product team to map its own AI risks to the enterprise risk register and submit the mapping once a year.</w:t>
            </w:r>
          </w:p>
        </w:tc>
        <w:tc>
          <w:tcPr>
            <w:tcW w:type="dxa" w:w="1361"/>
          </w:tcPr>
          <w:p>
            <w:r/>
            <w:r>
              <w:rPr>
                <w:b w:val="0"/>
                <w:color w:val="BE5000"/>
              </w:rPr>
              <w:t>✱ 已改</w:t>
            </w:r>
          </w:p>
        </w:tc>
      </w:tr>
      <w:tr>
        <w:tc>
          <w:tcPr>
            <w:tcW w:type="dxa" w:w="907"/>
          </w:tcPr>
          <w:p>
            <w:r/>
            <w:r>
              <w:rPr>
                <w:b/>
              </w:rPr>
              <w:t>B</w:t>
            </w:r>
          </w:p>
        </w:tc>
        <w:tc>
          <w:tcPr>
            <w:tcW w:type="dxa" w:w="5669"/>
          </w:tcPr>
          <w:p>
            <w:r/>
            <w:r>
              <w:rPr>
                <w:b w:val="0"/>
              </w:rPr>
              <w:t>Direct development squads to execute risk response strategies and fine-tuning mitigations for high-impact models before publishing organizational risk taxonomy classifications.</w:t>
            </w:r>
          </w:p>
        </w:tc>
        <w:tc>
          <w:tcPr>
            <w:tcW w:type="dxa" w:w="5669"/>
          </w:tcPr>
          <w:p>
            <w:r/>
            <w:r>
              <w:rPr>
                <w:b w:val="0"/>
              </w:rPr>
              <w:t>Direct development squads to execute risk response strategies and fine-tuning mitigations for high-impact models before publishing organizational risk taxonomy classifications.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Institutionalize an enterprise AI governance structure that defines risk tolerance thresholds and maps AI risks directly into the enterprise risk management taxonomy.</w:t>
            </w:r>
          </w:p>
        </w:tc>
        <w:tc>
          <w:tcPr>
            <w:tcW w:type="dxa" w:w="5669"/>
            <w:shd w:val="clear" w:color="auto" w:fill="FFF2CC"/>
          </w:tcPr>
          <w:p>
            <w:r/>
            <w:r>
              <w:rPr>
                <w:b/>
              </w:rPr>
              <w:t>Set up an enterprise AI structure that defines risk limits and maps AI risks into the enterprise risk categories.</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internal audit department to formulate mandatory AI risk thresholds and directly configure runtime compliance parameters within business unit workflows.</w:t>
            </w:r>
          </w:p>
        </w:tc>
        <w:tc>
          <w:tcPr>
            <w:tcW w:type="dxa" w:w="5669"/>
            <w:shd w:val="clear" w:color="auto" w:fill="FFF2CC"/>
          </w:tcPr>
          <w:p>
            <w:r/>
            <w:r>
              <w:rPr>
                <w:b/>
              </w:rPr>
              <w:t>Commission an external review of how peer firms align AI risk management with the NIST AI RMF and share the findings.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the NIST AI RMF, the GOVERN function is the foundational core that enables and informs MAP, MEASURE, and MANAGE. Establishing an enterprise AI governance structure that integrates AI risk tolerance into the existing Enterprise Risk Management (ERM) taxonomy (NIST AI RMF GOVERN 1.1, 1.2, and 2.1) ensures top-down alignment, senior leadership accountability, and systematic oversight of aggregate risk across decentralized units.</w:t>
      </w:r>
    </w:p>
    <w:p>
      <w:pPr>
        <w:spacing w:after="60"/>
      </w:pPr>
      <w:r>
        <w:rPr>
          <w:b/>
          <w:i w:val="0"/>
          <w:sz w:val="18"/>
        </w:rPr>
        <w:t>改写后的错误选项解析与错误类型：</w:t>
      </w:r>
    </w:p>
    <w:p>
      <w:pPr>
        <w:spacing w:after="60"/>
      </w:pPr>
      <w:r>
        <w:rPr>
          <w:b w:val="0"/>
          <w:i w:val="0"/>
          <w:sz w:val="18"/>
        </w:rPr>
        <w:t xml:space="preserve">  A（已改）A: Self-mapping by each team gives coverage, but it produces inconsistent categories and relies on each team's own judgement, so the fragmentation the CRO sees would continue.　【类型：Decentralized mapping without a common structure】</w:t>
      </w:r>
    </w:p>
    <w:p>
      <w:pPr>
        <w:spacing w:after="60"/>
      </w:pPr>
      <w:r>
        <w:rPr>
          <w:b w:val="0"/>
          <w:i w:val="0"/>
          <w:sz w:val="18"/>
        </w:rPr>
        <w:t xml:space="preserve">  B（未改）Option B is incorrect because it reflects the wrong sequence/timing; executing localized risk mitigations (MANAGE) prior to categorizing risks and contextualizing system impacts (MAP and GOVERN) results in disjointed, uncalibrated risk treatment.　【类型：Risk response before the risk taxonomy exists】</w:t>
      </w:r>
    </w:p>
    <w:p>
      <w:pPr>
        <w:spacing w:after="60"/>
      </w:pPr>
      <w:r>
        <w:rPr>
          <w:b w:val="0"/>
          <w:i w:val="0"/>
          <w:sz w:val="18"/>
        </w:rPr>
        <w:t xml:space="preserve">  D（已改）D: A peer review informs the design but does not itself put a governance structure, limits or a risk taxonomy mapping in place.　【类型：Benchmarking mistaken for implementation】</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37. 第四批 · MOST · D2.3 Privacy by Design &amp; Data Minimization</w:t>
      </w:r>
    </w:p>
    <w:p>
      <w:pPr>
        <w:spacing w:after="60"/>
      </w:pPr>
      <w:r>
        <w:rPr>
          <w:b w:val="0"/>
          <w:i w:val="0"/>
          <w:color w:val="5A5A5A"/>
          <w:sz w:val="17"/>
        </w:rPr>
        <w:t>ID：aaig-pipe-1791943089288-7-qyc29　难度：Director-Level</w:t>
      </w:r>
    </w:p>
    <w:p>
      <w:pPr>
        <w:spacing w:after="60"/>
      </w:pPr>
      <w:r>
        <w:rPr>
          <w:b w:val="0"/>
          <w:i w:val="0"/>
        </w:rPr>
        <w:t>情境：A multinational financial institution is architecting a centralized predictive AI platform that integrates customer transaction streams, call center voice transcripts, and digital engagement logs to forecast credit default risk. During architectural review, the Chief Risk Officer raises concerns regarding potential regulatory violations under global privacy mandates and ISO/IEC 42001 requirements for AI data governance.</w:t>
      </w:r>
    </w:p>
    <w:p>
      <w:pPr>
        <w:spacing w:after="60"/>
      </w:pPr>
      <w:r>
        <w:rPr>
          <w:b/>
          <w:i w:val="0"/>
        </w:rPr>
        <w:t>问题：Which governance control is the MOST effective for ensuring that Privacy by Design and data minimization principles are systematically upheld across the AI system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Enforcing a mandatory second-line gateway verifying purpose-based feature necessity and privacy impact assessments prior to ingestion into training pipelines.</w:t>
            </w:r>
          </w:p>
        </w:tc>
        <w:tc>
          <w:tcPr>
            <w:tcW w:type="dxa" w:w="5669"/>
            <w:shd w:val="clear" w:color="auto" w:fill="FFF2CC"/>
          </w:tcPr>
          <w:p>
            <w:r/>
            <w:r>
              <w:rPr>
                <w:b/>
              </w:rPr>
              <w:t>Add a mandatory second-line check of purpose and privacy impact before data enters training pipelines.</w:t>
            </w:r>
          </w:p>
        </w:tc>
        <w:tc>
          <w:tcPr>
            <w:tcW w:type="dxa" w:w="1361"/>
          </w:tcPr>
          <w:p>
            <w:r/>
            <w:r>
              <w:rPr>
                <w:b w:val="0"/>
                <w:color w:val="BE5000"/>
              </w:rPr>
              <w:t>✱ 已改</w:t>
            </w:r>
          </w:p>
        </w:tc>
      </w:tr>
      <w:tr>
        <w:tc>
          <w:tcPr>
            <w:tcW w:type="dxa" w:w="907"/>
          </w:tcPr>
          <w:p>
            <w:r/>
            <w:r>
              <w:rPr>
                <w:b/>
              </w:rPr>
              <w:t>B</w:t>
            </w:r>
          </w:p>
        </w:tc>
        <w:tc>
          <w:tcPr>
            <w:tcW w:type="dxa" w:w="5669"/>
          </w:tcPr>
          <w:p>
            <w:r/>
            <w:r>
              <w:rPr>
                <w:b w:val="0"/>
              </w:rPr>
              <w:t>Deploying automated data retention and purge scripts within production feature stores after model acceptance testing and commercial deployment have been completed.</w:t>
            </w:r>
          </w:p>
        </w:tc>
        <w:tc>
          <w:tcPr>
            <w:tcW w:type="dxa" w:w="5669"/>
          </w:tcPr>
          <w:p>
            <w:r/>
            <w:r>
              <w:rPr>
                <w:b w:val="0"/>
              </w:rPr>
              <w:t>Deploying automated data retention and purge scripts within production feature stores after model acceptance testing and commercial deployment have been completed.</w:t>
            </w:r>
          </w:p>
        </w:tc>
        <w:tc>
          <w:tcPr>
            <w:tcW w:type="dxa" w:w="1361"/>
          </w:tcPr>
          <w:p>
            <w:r/>
            <w:r>
              <w:rPr>
                <w:b w:val="0"/>
                <w:color w:val="787878"/>
              </w:rPr>
              <w:t>未改</w:t>
            </w:r>
          </w:p>
        </w:tc>
      </w:tr>
      <w:tr>
        <w:tc>
          <w:tcPr>
            <w:tcW w:type="dxa" w:w="907"/>
          </w:tcPr>
          <w:p>
            <w:r/>
            <w:r>
              <w:rPr>
                <w:b/>
              </w:rPr>
              <w:t>C</w:t>
            </w:r>
          </w:p>
        </w:tc>
        <w:tc>
          <w:tcPr>
            <w:tcW w:type="dxa" w:w="5669"/>
          </w:tcPr>
          <w:p>
            <w:r/>
            <w:r>
              <w:rPr>
                <w:b w:val="0"/>
              </w:rPr>
              <w:t>Empowering first-line data science leads to determine feature relevance and override minimization rules whenever cross-entropy loss exceeds business accuracy targets.</w:t>
            </w:r>
          </w:p>
        </w:tc>
        <w:tc>
          <w:tcPr>
            <w:tcW w:type="dxa" w:w="5669"/>
            <w:shd w:val="clear" w:color="auto" w:fill="FFF2CC"/>
          </w:tcPr>
          <w:p>
            <w:r/>
            <w:r>
              <w:rPr>
                <w:b/>
              </w:rPr>
              <w:t>Train the data science teams on privacy principles and require them to certify once a year that they follow them.</w:t>
            </w:r>
          </w:p>
        </w:tc>
        <w:tc>
          <w:tcPr>
            <w:tcW w:type="dxa" w:w="1361"/>
          </w:tcPr>
          <w:p>
            <w:r/>
            <w:r>
              <w:rPr>
                <w:b w:val="0"/>
                <w:color w:val="BE5000"/>
              </w:rPr>
              <w:t>✱ 已改</w:t>
            </w:r>
          </w:p>
        </w:tc>
      </w:tr>
      <w:tr>
        <w:tc>
          <w:tcPr>
            <w:tcW w:type="dxa" w:w="907"/>
          </w:tcPr>
          <w:p>
            <w:r/>
            <w:r>
              <w:rPr>
                <w:b/>
              </w:rPr>
              <w:t>D</w:t>
            </w:r>
          </w:p>
        </w:tc>
        <w:tc>
          <w:tcPr>
            <w:tcW w:type="dxa" w:w="5669"/>
          </w:tcPr>
          <w:p>
            <w:r/>
            <w:r>
              <w:rPr>
                <w:b w:val="0"/>
              </w:rPr>
              <w:t>Mandating post-hoc model explainability techniques and output differential privacy perturbations across inference endpoints to mitigate customer re-identification risk.</w:t>
            </w:r>
          </w:p>
        </w:tc>
        <w:tc>
          <w:tcPr>
            <w:tcW w:type="dxa" w:w="5669"/>
            <w:shd w:val="clear" w:color="auto" w:fill="FFF2CC"/>
          </w:tcPr>
          <w:p>
            <w:r/>
            <w:r>
              <w:rPr>
                <w:b/>
              </w:rPr>
              <w:t>Keep a catalogue of privacy-enhancing techniques and recommend them to teams when they design new features.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6.1 and Control A.6) and NIST AI RMF (GOVERN 1.2 and MAP 1.5), Privacy by Design and data minimization require proactive, front-end governance controls. Establishing a formal Second-Line review gate before data ingestion into training pipelines ensures that data collection and feature engineering are strictly bounded by verified business purpose and legal basis, preventing the acquisition of excessive personal data before risk materializes.</w:t>
      </w:r>
    </w:p>
    <w:p>
      <w:pPr>
        <w:spacing w:after="60"/>
      </w:pPr>
      <w:r>
        <w:rPr>
          <w:b/>
          <w:i w:val="0"/>
          <w:sz w:val="18"/>
        </w:rPr>
        <w:t>改写后的错误选项解析与错误类型：</w:t>
      </w:r>
    </w:p>
    <w:p>
      <w:pPr>
        <w:spacing w:after="60"/>
      </w:pPr>
      <w:r>
        <w:rPr>
          <w:b w:val="0"/>
          <w:i w:val="0"/>
          <w:sz w:val="18"/>
        </w:rPr>
        <w:t xml:space="preserve">  B（未改）Represents an operational lifecycle activity implemented too late in the development cycle; purging data after acceptance testing fails to prevent unauthorized or excessive data processing during training and validation (wrong sequence/timing).　【类型：Deletion after deployment instead of control at ingestion】</w:t>
      </w:r>
    </w:p>
    <w:p>
      <w:pPr>
        <w:spacing w:after="60"/>
      </w:pPr>
      <w:r>
        <w:rPr>
          <w:b w:val="0"/>
          <w:i w:val="0"/>
          <w:sz w:val="18"/>
        </w:rPr>
        <w:t xml:space="preserve">  C（已改）C: Training and certification build awareness, but they do not stop unnecessary data entering the pipeline, because no control checks each use.　【类型：Awareness and attestation instead of a control point】</w:t>
      </w:r>
    </w:p>
    <w:p>
      <w:pPr>
        <w:spacing w:after="60"/>
      </w:pPr>
      <w:r>
        <w:rPr>
          <w:b w:val="0"/>
          <w:i w:val="0"/>
          <w:sz w:val="18"/>
        </w:rPr>
        <w:t xml:space="preserve">  D（已改）D: Recommendations support good practice, but without a mandatory check at ingestion teams can still collect and keep data they do not need.　【类型：Optional guidance instead of a mandatory check】</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38. 第四批 · PRIMARY · D2.4 Algorithmic Bias &amp; Representation Drift</w:t>
      </w:r>
    </w:p>
    <w:p>
      <w:pPr>
        <w:spacing w:after="60"/>
      </w:pPr>
      <w:r>
        <w:rPr>
          <w:b w:val="0"/>
          <w:i w:val="0"/>
          <w:color w:val="5A5A5A"/>
          <w:sz w:val="17"/>
        </w:rPr>
        <w:t>ID：aaig-pipe-1791942405270-13　难度：Director-Level</w:t>
      </w:r>
    </w:p>
    <w:p>
      <w:pPr>
        <w:spacing w:after="60"/>
      </w:pPr>
      <w:r>
        <w:rPr>
          <w:b w:val="0"/>
          <w:i w:val="0"/>
        </w:rPr>
        <w:t>情境：A multinational financial services institution discovers that its automated retail lending model is experiencing severe representation drift due to macro-economic changes, resulting in disparate impact and increased algorithmic bias across protected applicant groups. The Chief AI Ethics and Compliance Officer convenes the enterprise AI steering committee to address the ongoing compliance and societal exposure.</w:t>
      </w:r>
    </w:p>
    <w:p>
      <w:pPr>
        <w:spacing w:after="60"/>
      </w:pPr>
      <w:r>
        <w:rPr>
          <w:b/>
          <w:i w:val="0"/>
        </w:rPr>
        <w:t>问题：What is the PRIMARY governance objective the steering committee must establish to address this algorithmic bias and representation drift effectively?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that model engineering teams immediately implement algorithmic de-biasing techniques and adversarial retraining across the operational feature pipeline.</w:t>
            </w:r>
          </w:p>
        </w:tc>
        <w:tc>
          <w:tcPr>
            <w:tcW w:type="dxa" w:w="5669"/>
            <w:shd w:val="clear" w:color="auto" w:fill="FFF2CC"/>
          </w:tcPr>
          <w:p>
            <w:r/>
            <w:r>
              <w:rPr>
                <w:b/>
              </w:rPr>
              <w:t>Commission a fairness audit of the model by an independent team and send the report to the regulators.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risk tolerances and continuous monitoring mandates that align production demographic shifts with enterprise risk appetite.</w:t>
            </w:r>
          </w:p>
        </w:tc>
        <w:tc>
          <w:tcPr>
            <w:tcW w:type="dxa" w:w="5669"/>
            <w:shd w:val="clear" w:color="auto" w:fill="FFF2CC"/>
          </w:tcPr>
          <w:p>
            <w:r/>
            <w:r>
              <w:rPr>
                <w:b/>
              </w:rPr>
              <w:t>Set limits and ongoing monitoring that connect shifts in the applicant population to the firm's tolerance for harm.</w:t>
            </w:r>
          </w:p>
        </w:tc>
        <w:tc>
          <w:tcPr>
            <w:tcW w:type="dxa" w:w="1361"/>
          </w:tcPr>
          <w:p>
            <w:r/>
            <w:r>
              <w:rPr>
                <w:b w:val="0"/>
                <w:color w:val="BE5000"/>
              </w:rPr>
              <w:t>✱ 已改</w:t>
            </w:r>
          </w:p>
        </w:tc>
      </w:tr>
      <w:tr>
        <w:tc>
          <w:tcPr>
            <w:tcW w:type="dxa" w:w="907"/>
          </w:tcPr>
          <w:p>
            <w:r/>
            <w:r>
              <w:rPr>
                <w:b/>
              </w:rPr>
              <w:t>C</w:t>
            </w:r>
          </w:p>
        </w:tc>
        <w:tc>
          <w:tcPr>
            <w:tcW w:type="dxa" w:w="5669"/>
          </w:tcPr>
          <w:p>
            <w:r/>
            <w:r>
              <w:rPr>
                <w:b w:val="0"/>
              </w:rPr>
              <w:t>Deploy automated feature-reweighting tools into the live inference environment before reviewing the underlying data collection policies.</w:t>
            </w:r>
          </w:p>
        </w:tc>
        <w:tc>
          <w:tcPr>
            <w:tcW w:type="dxa" w:w="5669"/>
          </w:tcPr>
          <w:p>
            <w:r/>
            <w:r>
              <w:rPr>
                <w:b w:val="0"/>
              </w:rPr>
              <w:t>Deploy automated feature-reweighting tools into the live inference environment before reviewing the underlying data collection policies.</w:t>
            </w:r>
          </w:p>
        </w:tc>
        <w:tc>
          <w:tcPr>
            <w:tcW w:type="dxa" w:w="1361"/>
          </w:tcPr>
          <w:p>
            <w:r/>
            <w:r>
              <w:rPr>
                <w:b w:val="0"/>
                <w:color w:val="787878"/>
              </w:rPr>
              <w:t>未改</w:t>
            </w:r>
          </w:p>
        </w:tc>
      </w:tr>
      <w:tr>
        <w:tc>
          <w:tcPr>
            <w:tcW w:type="dxa" w:w="907"/>
          </w:tcPr>
          <w:p>
            <w:r/>
            <w:r>
              <w:rPr>
                <w:b/>
              </w:rPr>
              <w:t>D</w:t>
            </w:r>
          </w:p>
        </w:tc>
        <w:tc>
          <w:tcPr>
            <w:tcW w:type="dxa" w:w="5669"/>
          </w:tcPr>
          <w:p>
            <w:r/>
            <w:r>
              <w:rPr>
                <w:b w:val="0"/>
              </w:rPr>
              <w:t>Authorize the first-line model development leads to independently establish acceptable disparate impact thresholds for retraining triggers.</w:t>
            </w:r>
          </w:p>
        </w:tc>
        <w:tc>
          <w:tcPr>
            <w:tcW w:type="dxa" w:w="5669"/>
            <w:shd w:val="clear" w:color="auto" w:fill="FFF2CC"/>
          </w:tcPr>
          <w:p>
            <w:r/>
            <w:r>
              <w:rPr>
                <w:b/>
              </w:rPr>
              <w:t>Ask the model owner to retrain the model every quarter on the latest applicant data.</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and NIST AI RMF (GOVERN 1.2, MEASURE 2.11) / ISO/IEC 42001 perspective, the primary governance responsibility of a steering committee is to establish risk appetite, acceptable tolerance thresholds, and institutional monitoring policies. Top-down governance mandates that controls and risk criteria precede tactical interventions so that changes in model behavior remain transparent, defensible, and compliant with strategic risk appetite.</w:t>
      </w:r>
    </w:p>
    <w:p>
      <w:pPr>
        <w:spacing w:after="60"/>
      </w:pPr>
      <w:r>
        <w:rPr>
          <w:b/>
          <w:i w:val="0"/>
          <w:sz w:val="18"/>
        </w:rPr>
        <w:t>改写后的错误选项解析与错误类型：</w:t>
      </w:r>
    </w:p>
    <w:p>
      <w:pPr>
        <w:spacing w:after="60"/>
      </w:pPr>
      <w:r>
        <w:rPr>
          <w:b w:val="0"/>
          <w:i w:val="0"/>
          <w:sz w:val="18"/>
        </w:rPr>
        <w:t xml:space="preserve">  A（已改）A: An audit documents the problem, but the committee's primary objective is to set the limits and monitoring that govern the response over time.　【类型：Evidence gathering mistaken for the governance objective】</w:t>
      </w:r>
    </w:p>
    <w:p>
      <w:pPr>
        <w:spacing w:after="60"/>
      </w:pPr>
      <w:r>
        <w:rPr>
          <w:b w:val="0"/>
          <w:i w:val="0"/>
          <w:sz w:val="18"/>
        </w:rPr>
        <w:t xml:space="preserve">  C（未改）Deploys operational tooling prematurely into the live pipeline (wrong sequence/timing) before revising governance standards, data governance policies, and control mechanisms.　【类型：Technical fix before data collection policies are reviewed】</w:t>
      </w:r>
    </w:p>
    <w:p>
      <w:pPr>
        <w:spacing w:after="60"/>
      </w:pPr>
      <w:r>
        <w:rPr>
          <w:b w:val="0"/>
          <w:i w:val="0"/>
          <w:sz w:val="18"/>
        </w:rPr>
        <w:t xml:space="preserve">  D（已改）D: Regular retraining may help, but without agreed limits and monitoring nobody can tell whether the drift or the bias has actually been addressed.　【类型：Routine maintenance mistaken for governance】</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39. 第四批 · MOST · D3.3 Model Drift, Degradation &amp; Performance KPIs</w:t>
      </w:r>
    </w:p>
    <w:p>
      <w:pPr>
        <w:spacing w:after="60"/>
      </w:pPr>
      <w:r>
        <w:rPr>
          <w:b w:val="0"/>
          <w:i w:val="0"/>
          <w:color w:val="5A5A5A"/>
          <w:sz w:val="17"/>
        </w:rPr>
        <w:t>ID：aaig-pipe-1791942450897-22　难度：Intermediate</w:t>
      </w:r>
    </w:p>
    <w:p>
      <w:pPr>
        <w:spacing w:after="60"/>
      </w:pPr>
      <w:r>
        <w:rPr>
          <w:b w:val="0"/>
          <w:i w:val="0"/>
        </w:rPr>
        <w:t>情境：A multinational financial services enterprise operating a machine learning model for commercial loan credit scoring detects statistically significant feature drift and concept drift caused by shifting macroeconomic conditions. The Chief Risk Officer raises concerns that deteriorating predictive accuracy may lead to unmanaged financial exposure.</w:t>
      </w:r>
    </w:p>
    <w:p>
      <w:pPr>
        <w:spacing w:after="60"/>
      </w:pPr>
      <w:r>
        <w:rPr>
          <w:b/>
          <w:i w:val="0"/>
        </w:rPr>
        <w:t>问题：In alignment with ISO/IEC 42001 and NIST AI RMF, which of the following is the MOST effective governance control to prevent ongoing model degradation from breaching organizational tolerances?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continuous automated retraining pipelines to adjust algorithmic weights dynamically whenever distribution divergence is observed.</w:t>
            </w:r>
          </w:p>
        </w:tc>
        <w:tc>
          <w:tcPr>
            <w:tcW w:type="dxa" w:w="5669"/>
            <w:shd w:val="clear" w:color="auto" w:fill="FFF2CC"/>
          </w:tcPr>
          <w:p>
            <w:r/>
            <w:r>
              <w:rPr>
                <w:b/>
              </w:rPr>
              <w:t>Add reviewers to the model risk team so that every model can be reviewed by a person every month.</w:t>
            </w:r>
          </w:p>
        </w:tc>
        <w:tc>
          <w:tcPr>
            <w:tcW w:type="dxa" w:w="1361"/>
          </w:tcPr>
          <w:p>
            <w:r/>
            <w:r>
              <w:rPr>
                <w:b w:val="0"/>
                <w:color w:val="BE5000"/>
              </w:rPr>
              <w:t>✱ 已改</w:t>
            </w:r>
          </w:p>
        </w:tc>
      </w:tr>
      <w:tr>
        <w:tc>
          <w:tcPr>
            <w:tcW w:type="dxa" w:w="907"/>
          </w:tcPr>
          <w:p>
            <w:r/>
            <w:r>
              <w:rPr>
                <w:b/>
              </w:rPr>
              <w:t>B</w:t>
            </w:r>
          </w:p>
        </w:tc>
        <w:tc>
          <w:tcPr>
            <w:tcW w:type="dxa" w:w="5669"/>
          </w:tcPr>
          <w:p>
            <w:r/>
            <w:r>
              <w:rPr>
                <w:b w:val="0"/>
              </w:rPr>
              <w:t>Decommissioning the model immediately from production prior to completing root cause analysis or quantifying business impact metrics.</w:t>
            </w:r>
          </w:p>
        </w:tc>
        <w:tc>
          <w:tcPr>
            <w:tcW w:type="dxa" w:w="5669"/>
          </w:tcPr>
          <w:p>
            <w:r/>
            <w:r>
              <w:rPr>
                <w:b w:val="0"/>
              </w:rPr>
              <w:t>Decommissioning the model immediately from production prior to completing root cause analysis or quantifying business impact metrics.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Establishing drift tolerance thresholds tied to risk appetite that trigger predefined escalation and remediation workflows.</w:t>
            </w:r>
          </w:p>
        </w:tc>
        <w:tc>
          <w:tcPr>
            <w:tcW w:type="dxa" w:w="5669"/>
            <w:shd w:val="clear" w:color="auto" w:fill="FFF2CC"/>
          </w:tcPr>
          <w:p>
            <w:r/>
            <w:r>
              <w:rPr>
                <w:b/>
              </w:rPr>
              <w:t>Agree drift limits tied to what the firm can accept, which start predefined review and remediation steps.</w:t>
            </w:r>
          </w:p>
        </w:tc>
        <w:tc>
          <w:tcPr>
            <w:tcW w:type="dxa" w:w="1361"/>
          </w:tcPr>
          <w:p>
            <w:r/>
            <w:r>
              <w:rPr>
                <w:b w:val="0"/>
                <w:color w:val="BE5000"/>
              </w:rPr>
              <w:t>✱ 已改</w:t>
            </w:r>
          </w:p>
        </w:tc>
      </w:tr>
      <w:tr>
        <w:tc>
          <w:tcPr>
            <w:tcW w:type="dxa" w:w="907"/>
          </w:tcPr>
          <w:p>
            <w:r/>
            <w:r>
              <w:rPr>
                <w:b/>
              </w:rPr>
              <w:t>D</w:t>
            </w:r>
          </w:p>
        </w:tc>
        <w:tc>
          <w:tcPr>
            <w:tcW w:type="dxa" w:w="5669"/>
          </w:tcPr>
          <w:p>
            <w:r/>
            <w:r>
              <w:rPr>
                <w:b w:val="0"/>
              </w:rPr>
              <w:t>Authorizing the independent internal audit function to define acceptable statistical degradation limits during annual assurance engagements.</w:t>
            </w:r>
          </w:p>
        </w:tc>
        <w:tc>
          <w:tcPr>
            <w:tcW w:type="dxa" w:w="5669"/>
            <w:shd w:val="clear" w:color="auto" w:fill="FFF2CC"/>
          </w:tcPr>
          <w:p>
            <w:r/>
            <w:r>
              <w:rPr>
                <w:b/>
              </w:rPr>
              <w:t>Publish a dashboard of model accuracy to all business units and ask them to raise concerns.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9.1 Monitoring, measurement, analysis, and evaluation) and NIST AI RMF (MEASURE 2.6 and MANAGE 2.4), the most effective governance control is establishing predefined performance and drift thresholds linked directly to enterprise risk appetite. When drift crosses these established boundaries, formalized escalation and remediation protocols (such as retraining, human-in-the-loop fallback, or controlled retirement) are systematically executed, ensuring business accountability and risk alignment.</w:t>
      </w:r>
    </w:p>
    <w:p>
      <w:pPr>
        <w:spacing w:after="60"/>
      </w:pPr>
      <w:r>
        <w:rPr>
          <w:b/>
          <w:i w:val="0"/>
          <w:sz w:val="18"/>
        </w:rPr>
        <w:t>改写后的错误选项解析与错误类型：</w:t>
      </w:r>
    </w:p>
    <w:p>
      <w:pPr>
        <w:spacing w:after="60"/>
      </w:pPr>
      <w:r>
        <w:rPr>
          <w:b w:val="0"/>
          <w:i w:val="0"/>
          <w:sz w:val="18"/>
        </w:rPr>
        <w:t xml:space="preserve">  A（已改）A: More reviewers improve coverage, but without agreed limits and automatic triggers, reviews still depend on people noticing the deterioration.　【类型：Capacity increase instead of defined triggers】</w:t>
      </w:r>
    </w:p>
    <w:p>
      <w:pPr>
        <w:spacing w:after="60"/>
      </w:pPr>
      <w:r>
        <w:rPr>
          <w:b w:val="0"/>
          <w:i w:val="0"/>
          <w:sz w:val="18"/>
        </w:rPr>
        <w:t xml:space="preserve">  B（未改）Option B represents a premature operational reaction that bypasses established threshold assessment and impact evaluation, disrupting business operations without following defined escalation procedures.　【类型：Withdrawal before root cause analysis】</w:t>
      </w:r>
    </w:p>
    <w:p>
      <w:pPr>
        <w:spacing w:after="60"/>
      </w:pPr>
      <w:r>
        <w:rPr>
          <w:b w:val="0"/>
          <w:i w:val="0"/>
          <w:sz w:val="18"/>
        </w:rPr>
        <w:t xml:space="preserve">  D（已改）D: Visibility helps, but a dashboard that relies on others to raise concerns has no agreed limit and nobody obliged to act when it is crossed.　【类型：Visibility without an obligation to act】</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40. 第四批 · PRIMARY · D3.4 Explainability, Interpretability &amp; Transparency (XAI)</w:t>
      </w:r>
    </w:p>
    <w:p>
      <w:pPr>
        <w:spacing w:after="60"/>
      </w:pPr>
      <w:r>
        <w:rPr>
          <w:b w:val="0"/>
          <w:i w:val="0"/>
          <w:color w:val="5A5A5A"/>
          <w:sz w:val="17"/>
        </w:rPr>
        <w:t>ID：aaig-pipe-1791942429985-18　难度：Intermediate</w:t>
      </w:r>
    </w:p>
    <w:p>
      <w:pPr>
        <w:spacing w:after="60"/>
      </w:pPr>
      <w:r>
        <w:rPr>
          <w:b w:val="0"/>
          <w:i w:val="0"/>
        </w:rPr>
        <w:t>情境：A multinational financial institution is deploying an AI-driven automated underwriting model to evaluate retail loan applications. To address consumer protection regulations and internal risk appetite, the AI governance committee is defining requirements for explainability and interpretability.</w:t>
      </w:r>
    </w:p>
    <w:p>
      <w:pPr>
        <w:spacing w:after="60"/>
      </w:pPr>
      <w:r>
        <w:rPr>
          <w:b/>
          <w:i w:val="0"/>
        </w:rPr>
        <w:t>问题：What is the PRIMARY governance objective of establishing explainability and transparency mechanisms for this AI deployment?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To maximize mathematical interpretability metrics and eliminate complex neural network architectures across all enterprise production workflows.</w:t>
            </w:r>
          </w:p>
        </w:tc>
        <w:tc>
          <w:tcPr>
            <w:tcW w:type="dxa" w:w="5669"/>
            <w:shd w:val="clear" w:color="auto" w:fill="FFF2CC"/>
          </w:tcPr>
          <w:p>
            <w:r/>
            <w:r>
              <w:rPr>
                <w:b/>
              </w:rPr>
              <w:t>To provide every applicant with a full technical description of how the underwriting model works.</w:t>
            </w:r>
          </w:p>
        </w:tc>
        <w:tc>
          <w:tcPr>
            <w:tcW w:type="dxa" w:w="1361"/>
          </w:tcPr>
          <w:p>
            <w:r/>
            <w:r>
              <w:rPr>
                <w:b w:val="0"/>
                <w:color w:val="BE5000"/>
              </w:rPr>
              <w:t>✱ 已改</w:t>
            </w:r>
          </w:p>
        </w:tc>
      </w:tr>
      <w:tr>
        <w:tc>
          <w:tcPr>
            <w:tcW w:type="dxa" w:w="907"/>
          </w:tcPr>
          <w:p>
            <w:r/>
            <w:r>
              <w:rPr>
                <w:b/>
              </w:rPr>
              <w:t>B</w:t>
            </w:r>
          </w:p>
        </w:tc>
        <w:tc>
          <w:tcPr>
            <w:tcW w:type="dxa" w:w="5669"/>
          </w:tcPr>
          <w:p>
            <w:r/>
            <w:r>
              <w:rPr>
                <w:b w:val="0"/>
              </w:rPr>
              <w:t>To procure and implement post-hoc model interpretation toolkits across operational pipelines prior to defining stakeholder transparency needs and governance policies.</w:t>
            </w:r>
          </w:p>
        </w:tc>
        <w:tc>
          <w:tcPr>
            <w:tcW w:type="dxa" w:w="5669"/>
          </w:tcPr>
          <w:p>
            <w:r/>
            <w:r>
              <w:rPr>
                <w:b w:val="0"/>
              </w:rPr>
              <w:t>To procure and implement post-hoc model interpretation toolkits across operational pipelines prior to defining stakeholder transparency needs and governance policies.</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To ensure affected stakeholders and oversight functions can comprehend, validate, and contest model outputs against risk appetite and regulatory requirements.</w:t>
            </w:r>
          </w:p>
        </w:tc>
        <w:tc>
          <w:tcPr>
            <w:tcW w:type="dxa" w:w="5669"/>
            <w:shd w:val="clear" w:color="auto" w:fill="FFF2CC"/>
          </w:tcPr>
          <w:p>
            <w:r/>
            <w:r>
              <w:rPr>
                <w:b/>
              </w:rPr>
              <w:t>To let affected people and oversight functions understand, check and challenge model outputs.</w:t>
            </w:r>
          </w:p>
        </w:tc>
        <w:tc>
          <w:tcPr>
            <w:tcW w:type="dxa" w:w="1361"/>
          </w:tcPr>
          <w:p>
            <w:r/>
            <w:r>
              <w:rPr>
                <w:b w:val="0"/>
                <w:color w:val="BE5000"/>
              </w:rPr>
              <w:t>✱ 已改</w:t>
            </w:r>
          </w:p>
        </w:tc>
      </w:tr>
      <w:tr>
        <w:tc>
          <w:tcPr>
            <w:tcW w:type="dxa" w:w="907"/>
          </w:tcPr>
          <w:p>
            <w:r/>
            <w:r>
              <w:rPr>
                <w:b/>
              </w:rPr>
              <w:t>D</w:t>
            </w:r>
          </w:p>
        </w:tc>
        <w:tc>
          <w:tcPr>
            <w:tcW w:type="dxa" w:w="5669"/>
          </w:tcPr>
          <w:p>
            <w:r/>
            <w:r>
              <w:rPr>
                <w:b w:val="0"/>
              </w:rPr>
              <w:t>To task the internal audit function with defining granular explainability thresholds and directly approving individual model loan override decisions.</w:t>
            </w:r>
          </w:p>
        </w:tc>
        <w:tc>
          <w:tcPr>
            <w:tcW w:type="dxa" w:w="5669"/>
            <w:shd w:val="clear" w:color="auto" w:fill="FFF2CC"/>
          </w:tcPr>
          <w:p>
            <w:r/>
            <w:r>
              <w:rPr>
                <w:b/>
              </w:rPr>
              <w:t>To give model developers a way to debug errors faster during training and testing.</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(grounded in NIST AI RMF GOVERN/MEASURE and ISO/IEC 42001), the primary objective of explainability and transparency is not technical elegance for its own sake, but ensuring that end-users, decision-makers, and oversight bodies understand how outputs are generated, allowing for meaningful contestability, risk alignment, and regulatory compliance.</w:t>
      </w:r>
    </w:p>
    <w:p>
      <w:pPr>
        <w:spacing w:after="60"/>
      </w:pPr>
      <w:r>
        <w:rPr>
          <w:b/>
          <w:i w:val="0"/>
          <w:sz w:val="18"/>
        </w:rPr>
        <w:t>改写后的错误选项解析与错误类型：</w:t>
      </w:r>
    </w:p>
    <w:p>
      <w:pPr>
        <w:spacing w:after="60"/>
      </w:pPr>
      <w:r>
        <w:rPr>
          <w:b w:val="0"/>
          <w:i w:val="0"/>
          <w:sz w:val="18"/>
        </w:rPr>
        <w:t xml:space="preserve">  A（已改）A: A full technical description is not what most applicants need and does not give them reasons for their own decision. Explainability has to fit the audience.　【类型：Technical disclosure at the wrong level】</w:t>
      </w:r>
    </w:p>
    <w:p>
      <w:pPr>
        <w:spacing w:after="60"/>
      </w:pPr>
      <w:r>
        <w:rPr>
          <w:b w:val="0"/>
          <w:i w:val="0"/>
          <w:sz w:val="18"/>
        </w:rPr>
        <w:t xml:space="preserve">  B（未改）Wrong Sequence: Deploying technical interpretation libraries (e.g., SHAP, LIME) before defining governance policies, risk tolerance, and stakeholder transparency requirements represents an ad-hoc, premature operational action.　【类型：Tooling before stakeholder needs are defined】</w:t>
      </w:r>
    </w:p>
    <w:p>
      <w:pPr>
        <w:spacing w:after="60"/>
      </w:pPr>
      <w:r>
        <w:rPr>
          <w:b w:val="0"/>
          <w:i w:val="0"/>
          <w:sz w:val="18"/>
        </w:rPr>
        <w:t xml:space="preserve">  D（已改）D: Debugging benefits developers, but the governance objective concerns the people affected and the oversight functions, not only the engineering team.　【类型：Developer convenience mistaken for the governance objective】</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41. 第四批 · MOST · D1.3 Policies, Principles, Charters &amp; Procedures</w:t>
      </w:r>
    </w:p>
    <w:p>
      <w:pPr>
        <w:spacing w:after="60"/>
      </w:pPr>
      <w:r>
        <w:rPr>
          <w:b w:val="0"/>
          <w:i w:val="0"/>
          <w:color w:val="5A5A5A"/>
          <w:sz w:val="17"/>
        </w:rPr>
        <w:t>ID：aaig-pipe-1791941180316-32　难度：Intermediate</w:t>
      </w:r>
    </w:p>
    <w:p>
      <w:pPr>
        <w:spacing w:after="60"/>
      </w:pPr>
      <w:r>
        <w:rPr>
          <w:b w:val="0"/>
          <w:i w:val="0"/>
        </w:rPr>
        <w:t>情境：A multinational financial services firm is establishing an enterprise Artificial Intelligence Management System (AIMS) to govern the adoption of predictive and generative AI models across its lines of business. Executive leadership mandates the creation of an enterprise-wide AI Policy to standardize compliance, risk appetite alignment, and accountable usage.</w:t>
      </w:r>
    </w:p>
    <w:p>
      <w:pPr>
        <w:spacing w:after="60"/>
      </w:pPr>
      <w:r>
        <w:rPr>
          <w:b/>
          <w:i w:val="0"/>
        </w:rPr>
        <w:t>问题：Which of the following is the MOST effective governance control to ensure the enterprise AI policy remains operationally viable and enforceable across business units?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policy review cycles linked to risk appetite and assign explicit compliance duties to first-line owners.</w:t>
            </w:r>
          </w:p>
        </w:tc>
        <w:tc>
          <w:tcPr>
            <w:tcW w:type="dxa" w:w="5669"/>
            <w:shd w:val="clear" w:color="auto" w:fill="FFF2CC"/>
          </w:tcPr>
          <w:p>
            <w:r/>
            <w:r>
              <w:rPr>
                <w:b/>
              </w:rPr>
              <w:t>Set review cycles linked to the firm's risk limits and give first-line owners explicit compliance duties.</w:t>
            </w:r>
          </w:p>
        </w:tc>
        <w:tc>
          <w:tcPr>
            <w:tcW w:type="dxa" w:w="1361"/>
          </w:tcPr>
          <w:p>
            <w:r/>
            <w:r>
              <w:rPr>
                <w:b w:val="0"/>
                <w:color w:val="BE5000"/>
              </w:rPr>
              <w:t>✱ 已改</w:t>
            </w:r>
          </w:p>
        </w:tc>
      </w:tr>
      <w:tr>
        <w:tc>
          <w:tcPr>
            <w:tcW w:type="dxa" w:w="907"/>
          </w:tcPr>
          <w:p>
            <w:r/>
            <w:r>
              <w:rPr>
                <w:b/>
              </w:rPr>
              <w:t>B</w:t>
            </w:r>
          </w:p>
        </w:tc>
        <w:tc>
          <w:tcPr>
            <w:tcW w:type="dxa" w:w="5669"/>
          </w:tcPr>
          <w:p>
            <w:r/>
            <w:r>
              <w:rPr>
                <w:b w:val="0"/>
              </w:rPr>
              <w:t>Mandate the automated technical enforcement of model explainability and fairness metrics across all algorithmic deployment pipelines.</w:t>
            </w:r>
          </w:p>
        </w:tc>
        <w:tc>
          <w:tcPr>
            <w:tcW w:type="dxa" w:w="5669"/>
            <w:shd w:val="clear" w:color="auto" w:fill="FFF2CC"/>
          </w:tcPr>
          <w:p>
            <w:r/>
            <w:r>
              <w:rPr>
                <w:b/>
              </w:rPr>
              <w:t>Turn the policy into a one-page summary for staff and test their understanding with a short annual quiz.</w:t>
            </w:r>
          </w:p>
        </w:tc>
        <w:tc>
          <w:tcPr>
            <w:tcW w:type="dxa" w:w="1361"/>
          </w:tcPr>
          <w:p>
            <w:r/>
            <w:r>
              <w:rPr>
                <w:b w:val="0"/>
                <w:color w:val="BE5000"/>
              </w:rPr>
              <w:t>✱ 已改</w:t>
            </w:r>
          </w:p>
        </w:tc>
      </w:tr>
      <w:tr>
        <w:tc>
          <w:tcPr>
            <w:tcW w:type="dxa" w:w="907"/>
          </w:tcPr>
          <w:p>
            <w:r/>
            <w:r>
              <w:rPr>
                <w:b/>
              </w:rPr>
              <w:t>C</w:t>
            </w:r>
          </w:p>
        </w:tc>
        <w:tc>
          <w:tcPr>
            <w:tcW w:type="dxa" w:w="5669"/>
          </w:tcPr>
          <w:p>
            <w:r/>
            <w:r>
              <w:rPr>
                <w:b w:val="0"/>
              </w:rPr>
              <w:t>Deploy enterprise continuous monitoring tools to track data drift across operational models prior to baselining policy standards.</w:t>
            </w:r>
          </w:p>
        </w:tc>
        <w:tc>
          <w:tcPr>
            <w:tcW w:type="dxa" w:w="5669"/>
          </w:tcPr>
          <w:p>
            <w:r/>
            <w:r>
              <w:rPr>
                <w:b w:val="0"/>
              </w:rPr>
              <w:t>Deploy enterprise continuous monitoring tools to track data drift across operational models prior to baselining policy standards.</w:t>
            </w:r>
          </w:p>
        </w:tc>
        <w:tc>
          <w:tcPr>
            <w:tcW w:type="dxa" w:w="1361"/>
          </w:tcPr>
          <w:p>
            <w:r/>
            <w:r>
              <w:rPr>
                <w:b w:val="0"/>
                <w:color w:val="787878"/>
              </w:rPr>
              <w:t>未改</w:t>
            </w:r>
          </w:p>
        </w:tc>
      </w:tr>
      <w:tr>
        <w:tc>
          <w:tcPr>
            <w:tcW w:type="dxa" w:w="907"/>
          </w:tcPr>
          <w:p>
            <w:r/>
            <w:r>
              <w:rPr>
                <w:b/>
              </w:rPr>
              <w:t>D</w:t>
            </w:r>
          </w:p>
        </w:tc>
        <w:tc>
          <w:tcPr>
            <w:tcW w:type="dxa" w:w="5669"/>
          </w:tcPr>
          <w:p>
            <w:r/>
            <w:r>
              <w:rPr>
                <w:b w:val="0"/>
              </w:rPr>
              <w:t>Designate the internal audit function to define departmental acceptable-use criteria and approve risk acceptance exceptions.</w:t>
            </w:r>
          </w:p>
        </w:tc>
        <w:tc>
          <w:tcPr>
            <w:tcW w:type="dxa" w:w="5669"/>
            <w:shd w:val="clear" w:color="auto" w:fill="FFF2CC"/>
          </w:tcPr>
          <w:p>
            <w:r/>
            <w:r>
              <w:rPr>
                <w:b/>
              </w:rPr>
              <w:t>Let each business unit adapt the policy to its own needs and record its version in a central folder.</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5.2 and 6.2) and NIST AI RMF (GOVERN 1.1, 1.2), an AI policy is only effective and enforceable when it directly maps to organizational risk appetite, incorporates periodic review to address emerging AI risks, and clearly defines accountability for first-line operational compliance. Top-down governance establishes decision rights and enforceability before technical execution.</w:t>
      </w:r>
    </w:p>
    <w:p>
      <w:pPr>
        <w:spacing w:after="60"/>
      </w:pPr>
      <w:r>
        <w:rPr>
          <w:b/>
          <w:i w:val="0"/>
          <w:sz w:val="18"/>
        </w:rPr>
        <w:t>改写后的错误选项解析与错误类型：</w:t>
      </w:r>
    </w:p>
    <w:p>
      <w:pPr>
        <w:spacing w:after="60"/>
      </w:pPr>
      <w:r>
        <w:rPr>
          <w:b w:val="0"/>
          <w:i w:val="0"/>
          <w:sz w:val="18"/>
        </w:rPr>
        <w:t xml:space="preserve">  B（已改）B: Summaries and quizzes build awareness, but they do not create review cycles or duties, so the policy can still fall out of date or be ignored.　【类型：Awareness activity mistaken for enforceability】</w:t>
      </w:r>
    </w:p>
    <w:p>
      <w:pPr>
        <w:spacing w:after="60"/>
      </w:pPr>
      <w:r>
        <w:rPr>
          <w:b w:val="0"/>
          <w:i w:val="0"/>
          <w:sz w:val="18"/>
        </w:rPr>
        <w:t xml:space="preserve">  C（未改）This represents wrong sequence/timing by deploying operational monitoring tooling before foundational policy standards, objectives, and metric thresholds have been defined and approved.　【类型：Monitoring before policy baselines exist】</w:t>
      </w:r>
    </w:p>
    <w:p>
      <w:pPr>
        <w:spacing w:after="60"/>
      </w:pPr>
      <w:r>
        <w:rPr>
          <w:b w:val="0"/>
          <w:i w:val="0"/>
          <w:sz w:val="18"/>
        </w:rPr>
        <w:t xml:space="preserve">  D（已改）D: Local adaptation makes the policy workable for each unit, but without common review cycles and clear duties the versions drift and cannot be enforced consistently.　【类型：Local versions without common review】</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42. 第四批 · PRIMARY · D2.4 Algorithmic Bias &amp; Representation Drift</w:t>
      </w:r>
    </w:p>
    <w:p>
      <w:pPr>
        <w:spacing w:after="60"/>
      </w:pPr>
      <w:r>
        <w:rPr>
          <w:b w:val="0"/>
          <w:i w:val="0"/>
          <w:color w:val="5A5A5A"/>
          <w:sz w:val="17"/>
        </w:rPr>
        <w:t>ID：aaig-pipe-1791943163595-28-3f1lb　难度：Intermediate</w:t>
      </w:r>
    </w:p>
    <w:p>
      <w:pPr>
        <w:spacing w:after="60"/>
      </w:pPr>
      <w:r>
        <w:rPr>
          <w:b w:val="0"/>
          <w:i w:val="0"/>
        </w:rPr>
        <w:t>情境：A multinational financial services firm deploys an automated credit-scoring model that experiences an unexpected shift in applicant demographic distributions over two quarters. Internal performance reports reveal that approval disparity rates across protected demographic groups have increased significantly due to representation drift in the underlying economic environment.</w:t>
      </w:r>
    </w:p>
    <w:p>
      <w:pPr>
        <w:spacing w:after="60"/>
      </w:pPr>
      <w:r>
        <w:rPr>
          <w:b/>
          <w:i w:val="0"/>
        </w:rPr>
        <w:t>问题：From an AI governance perspective, what is the PRIMARY objective of the enterprise when addressing this representation drift?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To delegate authorization to operational data science teams to redefine protected group classifications and risk limits.</w:t>
            </w:r>
          </w:p>
        </w:tc>
        <w:tc>
          <w:tcPr>
            <w:tcW w:type="dxa" w:w="5669"/>
            <w:shd w:val="clear" w:color="auto" w:fill="FFF2CC"/>
          </w:tcPr>
          <w:p>
            <w:r/>
            <w:r>
              <w:rPr>
                <w:b/>
              </w:rPr>
              <w:t>To collect more demographic data about applicants so that the model can be tested for fairness more precisely.</w:t>
            </w:r>
          </w:p>
        </w:tc>
        <w:tc>
          <w:tcPr>
            <w:tcW w:type="dxa" w:w="1361"/>
          </w:tcPr>
          <w:p>
            <w:r/>
            <w:r>
              <w:rPr>
                <w:b w:val="0"/>
                <w:color w:val="BE5000"/>
              </w:rPr>
              <w:t>✱ 已改</w:t>
            </w:r>
          </w:p>
        </w:tc>
      </w:tr>
      <w:tr>
        <w:tc>
          <w:tcPr>
            <w:tcW w:type="dxa" w:w="907"/>
          </w:tcPr>
          <w:p>
            <w:r/>
            <w:r>
              <w:rPr>
                <w:b/>
              </w:rPr>
              <w:t>B</w:t>
            </w:r>
          </w:p>
        </w:tc>
        <w:tc>
          <w:tcPr>
            <w:tcW w:type="dxa" w:w="5669"/>
          </w:tcPr>
          <w:p>
            <w:r/>
            <w:r>
              <w:rPr>
                <w:b w:val="0"/>
              </w:rPr>
              <w:t>To immediately retrain the scoring algorithm utilizing automated synthetic data generation to equalize group distributions.</w:t>
            </w:r>
          </w:p>
        </w:tc>
        <w:tc>
          <w:tcPr>
            <w:tcW w:type="dxa" w:w="5669"/>
            <w:shd w:val="clear" w:color="auto" w:fill="FFF2CC"/>
          </w:tcPr>
          <w:p>
            <w:r/>
            <w:r>
              <w:rPr>
                <w:b/>
              </w:rPr>
              <w:t>To publish quarterly fairness statistics so that regulators and customers can see how the model performs.</w:t>
            </w:r>
          </w:p>
        </w:tc>
        <w:tc>
          <w:tcPr>
            <w:tcW w:type="dxa" w:w="1361"/>
          </w:tcPr>
          <w:p>
            <w:r/>
            <w:r>
              <w:rPr>
                <w:b w:val="0"/>
                <w:color w:val="BE5000"/>
              </w:rPr>
              <w:t>✱ 已改</w:t>
            </w:r>
          </w:p>
        </w:tc>
      </w:tr>
      <w:tr>
        <w:tc>
          <w:tcPr>
            <w:tcW w:type="dxa" w:w="907"/>
          </w:tcPr>
          <w:p>
            <w:r/>
            <w:r>
              <w:rPr>
                <w:b/>
              </w:rPr>
              <w:t>C</w:t>
            </w:r>
          </w:p>
        </w:tc>
        <w:tc>
          <w:tcPr>
            <w:tcW w:type="dxa" w:w="5669"/>
          </w:tcPr>
          <w:p>
            <w:r/>
            <w:r>
              <w:rPr>
                <w:b w:val="0"/>
              </w:rPr>
              <w:t>To implement continuous runtime monitoring dashboards across production pipelines before evaluating business fairness thresholds.</w:t>
            </w:r>
          </w:p>
        </w:tc>
        <w:tc>
          <w:tcPr>
            <w:tcW w:type="dxa" w:w="5669"/>
          </w:tcPr>
          <w:p>
            <w:r/>
            <w:r>
              <w:rPr>
                <w:b w:val="0"/>
              </w:rPr>
              <w:t>To implement continuous runtime monitoring dashboards across production pipelines before evaluating business fairness thresholds.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To realign model outputs with organizational risk tolerance and fairness criteria established by governance policy.</w:t>
            </w:r>
          </w:p>
        </w:tc>
        <w:tc>
          <w:tcPr>
            <w:tcW w:type="dxa" w:w="5669"/>
            <w:shd w:val="clear" w:color="auto" w:fill="FFF2CC"/>
          </w:tcPr>
          <w:p>
            <w:r/>
            <w:r>
              <w:rPr>
                <w:b/>
              </w:rPr>
              <w:t>To bring model outputs back in line with the firm's risk limits and the fairness criteria its rules set.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AI governance standpoint (e.g., NIST AI RMF GOVERN 1.2 and MANAGE 2.4, ISO/IEC 42001 Clause 6), the primary objective when managing representation drift and algorithmic bias is ensuring the system remains aligned with enterprise risk tolerance, fairness definitions, and policy mandates set by governance authorities. Technical adjustments or re-evaluations must serve to restore alignment with established institutional risk thresholds rather than simply optimizing isolated mathematical metrics.</w:t>
      </w:r>
    </w:p>
    <w:p>
      <w:pPr>
        <w:spacing w:after="60"/>
      </w:pPr>
      <w:r>
        <w:rPr>
          <w:b/>
          <w:i w:val="0"/>
          <w:sz w:val="18"/>
        </w:rPr>
        <w:t>改写后的错误选项解析与错误类型：</w:t>
      </w:r>
    </w:p>
    <w:p>
      <w:pPr>
        <w:spacing w:after="60"/>
      </w:pPr>
      <w:r>
        <w:rPr>
          <w:b w:val="0"/>
          <w:i w:val="0"/>
          <w:sz w:val="18"/>
        </w:rPr>
        <w:t xml:space="preserve">  A（已改）A: More demographic data may help testing, but the primary objective is to bring outputs in line with the firm's agreed fairness criteria, whatever data is used.　【类型：Data collection mistaken for the governance objective】</w:t>
      </w:r>
    </w:p>
    <w:p>
      <w:pPr>
        <w:spacing w:after="60"/>
      </w:pPr>
      <w:r>
        <w:rPr>
          <w:b w:val="0"/>
          <w:i w:val="0"/>
          <w:sz w:val="18"/>
        </w:rPr>
        <w:t xml:space="preserve">  B（已改）B: Publishing figures is a transparency step, but it does not itself correct drift or bring the model back within agreed criteria.　【类型：Disclosure mistaken for correction】</w:t>
      </w:r>
    </w:p>
    <w:p>
      <w:pPr>
        <w:spacing w:after="60"/>
      </w:pPr>
      <w:r>
        <w:rPr>
          <w:b w:val="0"/>
          <w:i w:val="0"/>
          <w:sz w:val="18"/>
        </w:rPr>
        <w:t xml:space="preserve">  C（未改）Wrong Sequence/Timing: Implementing monitoring dashboards is a valid operational control, but doing so prior to defining or reviewing enterprise fairness thresholds inverts the governance lifecycle.　【类型：Monitoring before fairness thresholds are evaluated】</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43. 第四批 · PRIMARY · D3.6 Third-Party &amp; Supply Chain AI Risk Management</w:t>
      </w:r>
    </w:p>
    <w:p>
      <w:pPr>
        <w:spacing w:after="60"/>
      </w:pPr>
      <w:r>
        <w:rPr>
          <w:b w:val="0"/>
          <w:i w:val="0"/>
          <w:color w:val="5A5A5A"/>
          <w:sz w:val="17"/>
        </w:rPr>
        <w:t>ID：aaig-pipe-1791943315649-58-7qd1l　难度：Intermediate</w:t>
      </w:r>
    </w:p>
    <w:p>
      <w:pPr>
        <w:spacing w:after="60"/>
      </w:pPr>
      <w:r>
        <w:rPr>
          <w:b w:val="0"/>
          <w:i w:val="0"/>
        </w:rPr>
        <w:t>情境：A multinational financial services firm plans to integrate an externally developed foundation model into its consumer lending assessment workflow. To manage supply chain risks in accordance with ISO/IEC 42001 and NIST AI RMF GOVERN 6, executive leadership tasks the enterprise risk management function with establishing vendor oversight mechanisms.</w:t>
      </w:r>
    </w:p>
    <w:p>
      <w:pPr>
        <w:spacing w:after="60"/>
      </w:pPr>
      <w:r>
        <w:rPr>
          <w:b/>
          <w:i w:val="0"/>
        </w:rPr>
        <w:t>问题：What is the PRIMARY objective of the second-line risk management function when establishing oversight of this AI supplier?</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Require the direct technical execution of automated red-teaming and adversarial robustness testing against the third party's inference endpoints prior to contract signature.</w:t>
            </w:r>
          </w:p>
        </w:tc>
        <w:tc>
          <w:tcPr>
            <w:tcW w:type="dxa" w:w="5669"/>
            <w:shd w:val="clear" w:color="auto" w:fill="FFF2CC"/>
          </w:tcPr>
          <w:p>
            <w:r/>
            <w:r>
              <w:rPr>
                <w:b/>
              </w:rPr>
              <w:t>Approve each supplier contract personally and sign off the residual risk on behalf of the business.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Define risk-based AI due diligence criteria and contractual assurance mechanisms to verify third-party compliance with enterprise risk appetite.</w:t>
            </w:r>
          </w:p>
        </w:tc>
        <w:tc>
          <w:tcPr>
            <w:tcW w:type="dxa" w:w="5669"/>
            <w:shd w:val="clear" w:color="auto" w:fill="FFF2CC"/>
          </w:tcPr>
          <w:p>
            <w:r/>
            <w:r>
              <w:rPr>
                <w:b/>
              </w:rPr>
              <w:t>Define risk-based due diligence criteria and the contract assurances that show a supplier meets the firm's risk limits.</w:t>
            </w:r>
          </w:p>
        </w:tc>
        <w:tc>
          <w:tcPr>
            <w:tcW w:type="dxa" w:w="1361"/>
          </w:tcPr>
          <w:p>
            <w:r/>
            <w:r>
              <w:rPr>
                <w:b w:val="0"/>
                <w:color w:val="BE5000"/>
              </w:rPr>
              <w:t>✱ 已改</w:t>
            </w:r>
          </w:p>
        </w:tc>
      </w:tr>
      <w:tr>
        <w:tc>
          <w:tcPr>
            <w:tcW w:type="dxa" w:w="907"/>
          </w:tcPr>
          <w:p>
            <w:r/>
            <w:r>
              <w:rPr>
                <w:b/>
              </w:rPr>
              <w:t>C</w:t>
            </w:r>
          </w:p>
        </w:tc>
        <w:tc>
          <w:tcPr>
            <w:tcW w:type="dxa" w:w="5669"/>
          </w:tcPr>
          <w:p>
            <w:r/>
            <w:r>
              <w:rPr>
                <w:b w:val="0"/>
              </w:rPr>
              <w:t>Implement real-time telemetry pipelines to monitor data drift and model degradation directly within the production lending workflow before finalizing service level agreements.</w:t>
            </w:r>
          </w:p>
        </w:tc>
        <w:tc>
          <w:tcPr>
            <w:tcW w:type="dxa" w:w="5669"/>
          </w:tcPr>
          <w:p>
            <w:r/>
            <w:r>
              <w:rPr>
                <w:b w:val="0"/>
              </w:rPr>
              <w:t>Implement real-time telemetry pipelines to monitor data drift and model degradation directly within the production lending workflow before finalizing service level agreements.</w:t>
            </w:r>
          </w:p>
        </w:tc>
        <w:tc>
          <w:tcPr>
            <w:tcW w:type="dxa" w:w="1361"/>
          </w:tcPr>
          <w:p>
            <w:r/>
            <w:r>
              <w:rPr>
                <w:b w:val="0"/>
                <w:color w:val="787878"/>
              </w:rPr>
              <w:t>未改</w:t>
            </w:r>
          </w:p>
        </w:tc>
      </w:tr>
      <w:tr>
        <w:tc>
          <w:tcPr>
            <w:tcW w:type="dxa" w:w="907"/>
          </w:tcPr>
          <w:p>
            <w:r/>
            <w:r>
              <w:rPr>
                <w:b/>
              </w:rPr>
              <w:t>D</w:t>
            </w:r>
          </w:p>
        </w:tc>
        <w:tc>
          <w:tcPr>
            <w:tcW w:type="dxa" w:w="5669"/>
          </w:tcPr>
          <w:p>
            <w:r/>
            <w:r>
              <w:rPr>
                <w:b w:val="0"/>
              </w:rPr>
              <w:t>Assume full operational ownership for retraining the vendor's underlying model architecture whenever performance deviates from predefined credit risk thresholds.</w:t>
            </w:r>
          </w:p>
        </w:tc>
        <w:tc>
          <w:tcPr>
            <w:tcW w:type="dxa" w:w="5669"/>
            <w:shd w:val="clear" w:color="auto" w:fill="FFF2CC"/>
          </w:tcPr>
          <w:p>
            <w:r/>
            <w:r>
              <w:rPr>
                <w:b/>
              </w:rPr>
              <w:t>Maintain the register of approved suppliers and remove any supplier that has a security incident.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and under NIST AI RMF GOVERN 6 and ISO/IEC 42001 Clause 8 / Annex A.9, the primary role of the second line of defense (enterprise risk management) regarding third-party AI is establishing governance standards, due diligence criteria, evaluation methodologies, and contractual rights (e.g., transparency, auditability, data privacy, performance metrics) that ensure external components remain within organizational risk appetite. Operational execution belongs to the first line, while independent assurance belongs to the third line.</w:t>
      </w:r>
    </w:p>
    <w:p>
      <w:pPr>
        <w:spacing w:after="60"/>
      </w:pPr>
      <w:r>
        <w:rPr>
          <w:b/>
          <w:i w:val="0"/>
          <w:sz w:val="18"/>
        </w:rPr>
        <w:t>改写后的错误选项解析与错误类型：</w:t>
      </w:r>
    </w:p>
    <w:p>
      <w:pPr>
        <w:spacing w:after="60"/>
      </w:pPr>
      <w:r>
        <w:rPr>
          <w:b w:val="0"/>
          <w:i w:val="0"/>
          <w:sz w:val="18"/>
        </w:rPr>
        <w:t xml:space="preserve">  A（已改）A: Approving contracts and accepting residual risk are management decisions. The second line sets criteria and challenges, but does not take them over.　【类型：Management decision assigned to the second line】</w:t>
      </w:r>
    </w:p>
    <w:p>
      <w:pPr>
        <w:spacing w:after="60"/>
      </w:pPr>
      <w:r>
        <w:rPr>
          <w:b w:val="0"/>
          <w:i w:val="0"/>
          <w:sz w:val="18"/>
        </w:rPr>
        <w:t xml:space="preserve">  C（未改）Represents an improper operational sequence by attempting to establish production runtime monitoring before defining contractual baselines, performance thresholds, and service-level commitments.　【类型：Production monitoring before contractual terms are final】</w:t>
      </w:r>
    </w:p>
    <w:p>
      <w:pPr>
        <w:spacing w:after="60"/>
      </w:pPr>
      <w:r>
        <w:rPr>
          <w:b w:val="0"/>
          <w:i w:val="0"/>
          <w:sz w:val="18"/>
        </w:rPr>
        <w:t xml:space="preserve">  D（已改）D: A register is a useful tool, but removal on an incident alone is not a risk-based due diligence approach, and keeping the list is not the second line's primary objective.　【类型：Administrative list mistaken for the oversight objective】</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44. 第四批 · PRIMARY · D3.4 Explainability, Interpretability &amp; Transparency (XAI)</w:t>
      </w:r>
    </w:p>
    <w:p>
      <w:pPr>
        <w:spacing w:after="60"/>
      </w:pPr>
      <w:r>
        <w:rPr>
          <w:b w:val="0"/>
          <w:i w:val="0"/>
          <w:color w:val="5A5A5A"/>
          <w:sz w:val="17"/>
        </w:rPr>
        <w:t>ID：aaig-pipe-1791943198675-33-0tu1t　难度：Director-Level</w:t>
      </w:r>
    </w:p>
    <w:p>
      <w:pPr>
        <w:spacing w:after="60"/>
      </w:pPr>
      <w:r>
        <w:rPr>
          <w:b w:val="0"/>
          <w:i w:val="0"/>
        </w:rPr>
        <w:t>情境：An international commercial lender is integrating an automated deep-learning credit decisioning engine across multiple business units. During initial deployment monitoring, the Model Risk Management function observes that frontline loan officers are unable to provide actionable, plain-language justifications to rejected applicants, exposing the institution to regulatory sanctions and reputational harm under consumer protection frameworks.</w:t>
      </w:r>
    </w:p>
    <w:p>
      <w:pPr>
        <w:spacing w:after="60"/>
      </w:pPr>
      <w:r>
        <w:rPr>
          <w:b/>
          <w:i w:val="0"/>
        </w:rPr>
        <w:t>问题：In alignment with ISO/IEC 42001 and the NIST AI RMF (MEASURE and GOVERN functions), what is the PRIMARY governance objective for establishing enterprise explainability and interpretability requirements?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context-specific explainability requirements aligned with stakeholder risk tiers and statutory disclosure duties.</w:t>
            </w:r>
          </w:p>
        </w:tc>
        <w:tc>
          <w:tcPr>
            <w:tcW w:type="dxa" w:w="5669"/>
            <w:shd w:val="clear" w:color="auto" w:fill="FFF2CC"/>
          </w:tcPr>
          <w:p>
            <w:r/>
            <w:r>
              <w:rPr>
                <w:b/>
              </w:rPr>
              <w:t>Set explanation requirements by stakeholder need, decision impact and legal duties to inform people.</w:t>
            </w:r>
          </w:p>
        </w:tc>
        <w:tc>
          <w:tcPr>
            <w:tcW w:type="dxa" w:w="1361"/>
          </w:tcPr>
          <w:p>
            <w:r/>
            <w:r>
              <w:rPr>
                <w:b w:val="0"/>
                <w:color w:val="BE5000"/>
              </w:rPr>
              <w:t>✱ 已改</w:t>
            </w:r>
          </w:p>
        </w:tc>
      </w:tr>
      <w:tr>
        <w:tc>
          <w:tcPr>
            <w:tcW w:type="dxa" w:w="907"/>
          </w:tcPr>
          <w:p>
            <w:r/>
            <w:r>
              <w:rPr>
                <w:b/>
              </w:rPr>
              <w:t>B</w:t>
            </w:r>
          </w:p>
        </w:tc>
        <w:tc>
          <w:tcPr>
            <w:tcW w:type="dxa" w:w="5669"/>
          </w:tcPr>
          <w:p>
            <w:r/>
            <w:r>
              <w:rPr>
                <w:b w:val="0"/>
              </w:rPr>
              <w:t>Mandate universal post-hoc feature attribution across all pipelines to optimize statistical interpretability metrics.</w:t>
            </w:r>
          </w:p>
        </w:tc>
        <w:tc>
          <w:tcPr>
            <w:tcW w:type="dxa" w:w="5669"/>
          </w:tcPr>
          <w:p>
            <w:r/>
            <w:r>
              <w:rPr>
                <w:b w:val="0"/>
              </w:rPr>
              <w:t>Mandate universal post-hoc feature attribution across all pipelines to optimize statistical interpretability metrics.</w:t>
            </w:r>
          </w:p>
        </w:tc>
        <w:tc>
          <w:tcPr>
            <w:tcW w:type="dxa" w:w="1361"/>
          </w:tcPr>
          <w:p>
            <w:r/>
            <w:r>
              <w:rPr>
                <w:b w:val="0"/>
                <w:color w:val="787878"/>
              </w:rPr>
              <w:t>未改</w:t>
            </w:r>
          </w:p>
        </w:tc>
      </w:tr>
      <w:tr>
        <w:tc>
          <w:tcPr>
            <w:tcW w:type="dxa" w:w="907"/>
          </w:tcPr>
          <w:p>
            <w:r/>
            <w:r>
              <w:rPr>
                <w:b/>
              </w:rPr>
              <w:t>C</w:t>
            </w:r>
          </w:p>
        </w:tc>
        <w:tc>
          <w:tcPr>
            <w:tcW w:type="dxa" w:w="5669"/>
          </w:tcPr>
          <w:p>
            <w:r/>
            <w:r>
              <w:rPr>
                <w:b w:val="0"/>
              </w:rPr>
              <w:t>Commission a third-line review to penalize units lacking explainability telemetry before approving transparency policies.</w:t>
            </w:r>
          </w:p>
        </w:tc>
        <w:tc>
          <w:tcPr>
            <w:tcW w:type="dxa" w:w="5669"/>
            <w:shd w:val="clear" w:color="auto" w:fill="FFF2CC"/>
          </w:tcPr>
          <w:p>
            <w:r/>
            <w:r>
              <w:rPr>
                <w:b/>
              </w:rPr>
              <w:t>Ask the model vendor to supply an explanation module and use it for all reporting.</w:t>
            </w:r>
          </w:p>
        </w:tc>
        <w:tc>
          <w:tcPr>
            <w:tcW w:type="dxa" w:w="1361"/>
          </w:tcPr>
          <w:p>
            <w:r/>
            <w:r>
              <w:rPr>
                <w:b w:val="0"/>
                <w:color w:val="BE5000"/>
              </w:rPr>
              <w:t>✱ 已改</w:t>
            </w:r>
          </w:p>
        </w:tc>
      </w:tr>
      <w:tr>
        <w:tc>
          <w:tcPr>
            <w:tcW w:type="dxa" w:w="907"/>
          </w:tcPr>
          <w:p>
            <w:r/>
            <w:r>
              <w:rPr>
                <w:b/>
              </w:rPr>
              <w:t>D</w:t>
            </w:r>
          </w:p>
        </w:tc>
        <w:tc>
          <w:tcPr>
            <w:tcW w:type="dxa" w:w="5669"/>
          </w:tcPr>
          <w:p>
            <w:r/>
            <w:r>
              <w:rPr>
                <w:b w:val="0"/>
              </w:rPr>
              <w:t>Empower first-line machine learning engineers to determine acceptable interpretability thresholds based exclusively on model accuracy retention metrics.</w:t>
            </w:r>
          </w:p>
        </w:tc>
        <w:tc>
          <w:tcPr>
            <w:tcW w:type="dxa" w:w="5669"/>
            <w:shd w:val="clear" w:color="auto" w:fill="FFF2CC"/>
          </w:tcPr>
          <w:p>
            <w:r/>
            <w:r>
              <w:rPr>
                <w:b/>
              </w:rPr>
              <w:t>Limit the firm to inherently interpretable models, whatever the decision or its impact.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AI governance director perspective, explainability is not a one-size-fits-all technical metric; it must be tailored to the operational context, stakeholder needs (e.g., consumers vs. regulators vs. internal auditors), and legal/regulatory compliance obligations, as articulated in ISO/IEC 42001 and NIST AI RMF (GOVERN and MEASURE). The primary governance objective is establishing proportionate, risk-tiered explainability standards that satisfy both business objectives and external rights before enforcing specific technical implementations.</w:t>
      </w:r>
    </w:p>
    <w:p>
      <w:pPr>
        <w:spacing w:after="60"/>
      </w:pPr>
      <w:r>
        <w:rPr>
          <w:b/>
          <w:i w:val="0"/>
          <w:sz w:val="18"/>
        </w:rPr>
        <w:t>改写后的错误选项解析与错误类型：</w:t>
      </w:r>
    </w:p>
    <w:p>
      <w:pPr>
        <w:spacing w:after="60"/>
      </w:pPr>
      <w:r>
        <w:rPr>
          <w:b w:val="0"/>
          <w:i w:val="0"/>
          <w:sz w:val="18"/>
        </w:rPr>
        <w:t xml:space="preserve">  B（未改）Option B is incorrect because it reflects the wrong priority and technical direction; enforcing specific mathematical tools (e.g., SHAP, LIME) uniformly across all systems prioritizes technical instrumentation over governance alignment, business context, and statutory interpretability requirements.　【类型：One technique mandated for every pipeline】</w:t>
      </w:r>
    </w:p>
    <w:p>
      <w:pPr>
        <w:spacing w:after="60"/>
      </w:pPr>
      <w:r>
        <w:rPr>
          <w:b w:val="0"/>
          <w:i w:val="0"/>
          <w:sz w:val="18"/>
        </w:rPr>
        <w:t xml:space="preserve">  C（已改）C: A vendor module may suit some decisions, but it does not define who needs which explanation or what regulation requires of the firm.　【类型：Vendor tool mistaken for requirements】</w:t>
      </w:r>
    </w:p>
    <w:p>
      <w:pPr>
        <w:spacing w:after="60"/>
      </w:pPr>
      <w:r>
        <w:rPr>
          <w:b w:val="0"/>
          <w:i w:val="0"/>
          <w:sz w:val="18"/>
        </w:rPr>
        <w:t xml:space="preserve">  D（已改）D: Interpretable models fit some uses, but a blanket limit ignores context and decision impact and may sacrifice needed performance.　【类型：Uniform technical mandate regardless of context】</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45. 第四批 · PRIMARY · D3.6 Third-Party &amp; Supply Chain AI Risk Management</w:t>
      </w:r>
    </w:p>
    <w:p>
      <w:pPr>
        <w:spacing w:after="60"/>
      </w:pPr>
      <w:r>
        <w:rPr>
          <w:b w:val="0"/>
          <w:i w:val="0"/>
          <w:color w:val="5A5A5A"/>
          <w:sz w:val="17"/>
        </w:rPr>
        <w:t>ID：aaig-pipe-1791941505157-23　难度：Director-Level</w:t>
      </w:r>
    </w:p>
    <w:p>
      <w:pPr>
        <w:spacing w:after="60"/>
      </w:pPr>
      <w:r>
        <w:rPr>
          <w:b w:val="0"/>
          <w:i w:val="0"/>
        </w:rPr>
        <w:t>情境：A multinational financial institution plans to integrate a proprietary commercial foundation model via an external cloud API to support automated credit underwriting. To satisfy ISO/IEC 42001 and NIST AI RMF supply chain risk requirements, the organization's enterprise AI steering committee must oversee the integration.</w:t>
      </w:r>
    </w:p>
    <w:p>
      <w:pPr>
        <w:spacing w:after="60"/>
      </w:pPr>
      <w:r>
        <w:rPr>
          <w:b/>
          <w:i w:val="0"/>
        </w:rPr>
        <w:t>问题：What is the PRIMARY governance objective when establishing risk oversight for this third-party AI integration?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Verify that the technical procurement team can inspect the proprietary training code and mathematical weights of the foundation model.</w:t>
            </w:r>
          </w:p>
        </w:tc>
        <w:tc>
          <w:tcPr>
            <w:tcW w:type="dxa" w:w="5669"/>
          </w:tcPr>
          <w:p>
            <w:r/>
            <w:r>
              <w:rPr>
                <w:b w:val="0"/>
              </w:rPr>
              <w:t>Verify that the technical procurement team can inspect the proprietary training code and mathematical weights of the foundation model.</w:t>
            </w:r>
          </w:p>
        </w:tc>
        <w:tc>
          <w:tcPr>
            <w:tcW w:type="dxa" w:w="1361"/>
          </w:tcPr>
          <w:p>
            <w:r/>
            <w:r>
              <w:rPr>
                <w:b w:val="0"/>
                <w:color w:val="787878"/>
              </w:rPr>
              <w:t>未改</w:t>
            </w:r>
          </w:p>
        </w:tc>
      </w:tr>
      <w:tr>
        <w:tc>
          <w:tcPr>
            <w:tcW w:type="dxa" w:w="907"/>
          </w:tcPr>
          <w:p>
            <w:r/>
            <w:r>
              <w:rPr>
                <w:b/>
              </w:rPr>
              <w:t>B</w:t>
            </w:r>
          </w:p>
        </w:tc>
        <w:tc>
          <w:tcPr>
            <w:tcW w:type="dxa" w:w="5669"/>
          </w:tcPr>
          <w:p>
            <w:r/>
            <w:r>
              <w:rPr>
                <w:b w:val="0"/>
              </w:rPr>
              <w:t>Execute continuous automated red-teaming against the vendor's production environment prior to establishing foundational AI risk tolerance metrics.</w:t>
            </w:r>
          </w:p>
        </w:tc>
        <w:tc>
          <w:tcPr>
            <w:tcW w:type="dxa" w:w="5669"/>
            <w:shd w:val="clear" w:color="auto" w:fill="FFF2CC"/>
          </w:tcPr>
          <w:p>
            <w:r/>
            <w:r>
              <w:rPr>
                <w:b/>
              </w:rPr>
              <w:t>Rely on the supplier's published model card and responsible-AI statement as the basis of assurance.</w:t>
            </w:r>
          </w:p>
        </w:tc>
        <w:tc>
          <w:tcPr>
            <w:tcW w:type="dxa" w:w="1361"/>
          </w:tcPr>
          <w:p>
            <w:r/>
            <w:r>
              <w:rPr>
                <w:b w:val="0"/>
                <w:color w:val="BE5000"/>
              </w:rPr>
              <w:t>✱ 已改</w:t>
            </w:r>
          </w:p>
        </w:tc>
      </w:tr>
      <w:tr>
        <w:tc>
          <w:tcPr>
            <w:tcW w:type="dxa" w:w="907"/>
          </w:tcPr>
          <w:p>
            <w:r/>
            <w:r>
              <w:rPr>
                <w:b/>
              </w:rPr>
              <w:t>C</w:t>
            </w:r>
          </w:p>
        </w:tc>
        <w:tc>
          <w:tcPr>
            <w:tcW w:type="dxa" w:w="5669"/>
          </w:tcPr>
          <w:p>
            <w:r/>
            <w:r>
              <w:rPr>
                <w:b w:val="0"/>
              </w:rPr>
              <w:t>Delegate final supply chain risk acceptance and monitoring authority to the line-of-business underwriting team deploying the model.</w:t>
            </w:r>
          </w:p>
        </w:tc>
        <w:tc>
          <w:tcPr>
            <w:tcW w:type="dxa" w:w="5669"/>
            <w:shd w:val="clear" w:color="auto" w:fill="FFF2CC"/>
          </w:tcPr>
          <w:p>
            <w:r/>
            <w:r>
              <w:rPr>
                <w:b/>
              </w:rPr>
              <w:t>Limit the integration to non-critical decisions for the first year and review the arrangement then.</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Ensure third-party contractual terms establish accountability, alignment to risk appetite, and verifiable audit rights.</w:t>
            </w:r>
          </w:p>
        </w:tc>
        <w:tc>
          <w:tcPr>
            <w:tcW w:type="dxa" w:w="5669"/>
            <w:shd w:val="clear" w:color="auto" w:fill="FFF2CC"/>
          </w:tcPr>
          <w:p>
            <w:r/>
            <w:r>
              <w:rPr>
                <w:b/>
              </w:rPr>
              <w:t>Make sure the supplier agreement lets the institution inspect the supplier's practices, share risk fairly and enforce its rights.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主解析（未改动）：Under ISO/IEC 42001 (Control Annex A.8) and NIST AI RMF (GOVERN 2.3 &amp; MANAGE 4.1), governance over third-party AI assets primarily requires formalizing accountability, establishing clear allocation of responsibilities, verifying alignment to enterprise risk appetite, and securing legally enforceable audit, monitoring, and compliance rights. Commercial foundation models are frequently closed-source, making rigorous contractual governance and assurance mechanisms the primary control point.</w:t>
      </w:r>
    </w:p>
    <w:p>
      <w:pPr>
        <w:spacing w:after="60"/>
      </w:pPr>
      <w:r>
        <w:rPr>
          <w:b/>
          <w:i w:val="0"/>
          <w:sz w:val="18"/>
        </w:rPr>
        <w:t>改写后的错误选项解析与错误类型：</w:t>
      </w:r>
    </w:p>
    <w:p>
      <w:pPr>
        <w:spacing w:after="60"/>
      </w:pPr>
      <w:r>
        <w:rPr>
          <w:b w:val="0"/>
          <w:i w:val="0"/>
          <w:sz w:val="18"/>
        </w:rPr>
        <w:t xml:space="preserve">  A（未改）Wrong Priority/Direction: In proprietary third-party foundation models, demanding raw model weights and proprietary source code is technically unrealistic and shifts focus away from governance assurance and outcome-based controls.　【类型：Technical inspection mistaken for allocated accountability】</w:t>
      </w:r>
    </w:p>
    <w:p>
      <w:pPr>
        <w:spacing w:after="60"/>
      </w:pPr>
      <w:r>
        <w:rPr>
          <w:b w:val="0"/>
          <w:i w:val="0"/>
          <w:sz w:val="18"/>
        </w:rPr>
        <w:t xml:space="preserve">  B（已改）B: Supplier-published statements describe what the supplier chooses to say and are not verified, enforceable commitments to the institution.　【类型：Supplier self-description mistaken for assurance】</w:t>
      </w:r>
    </w:p>
    <w:p>
      <w:pPr>
        <w:spacing w:after="60"/>
      </w:pPr>
      <w:r>
        <w:rPr>
          <w:b w:val="0"/>
          <w:i w:val="0"/>
          <w:sz w:val="18"/>
        </w:rPr>
        <w:t xml:space="preserve">  C（已改）C: A cautious start limits exposure, but it does not establish who is accountable, what can be audited, or how risk is allocated in the meantime.　【类型：Cautious scope mistaken for governing terms】</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