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pPr>
      <w:r>
        <w:rPr>
          <w:color w:val="595959"/>
          <w:sz w:val="30"/>
          <w:szCs w:val="30"/>
        </w:rPr>
        <w:t xml:space="preserve">National Health Dataset Catalogue</w:t>
      </w:r>
    </w:p>
    <w:p>
      <w:pPr>
        <w:spacing w:after="300"/>
      </w:pPr>
      <w:r>
        <w:rPr>
          <w:b/>
          <w:bCs/>
          <w:color w:val="1F4E79"/>
          <w:sz w:val="56"/>
          <w:szCs w:val="56"/>
        </w:rPr>
        <w:t xml:space="preserve">Assurance Report</w:t>
      </w:r>
    </w:p>
    <w:p>
      <w:pPr>
        <w:spacing w:after="1400" w:line="320"/>
      </w:pPr>
      <w:r>
        <w:rPr>
          <w:sz w:val="26"/>
          <w:szCs w:val="26"/>
        </w:rPr>
        <w:t xml:space="preserve">A critique of HIQA Deliverable 6.1 and the rationale for the proposed reference specification, version 0.3</w:t>
      </w:r>
    </w:p>
    <w:p>
      <w:pPr>
        <w:pBdr>
          <w:top w:val="single" w:color="1F4E79" w:sz="6" w:space="8"/>
        </w:pBdr>
        <w:spacing w:after="60"/>
      </w:pPr>
      <w:r>
        <w:rPr>
          <w:b/>
          <w:bCs/>
          <w:sz w:val="22"/>
          <w:szCs w:val="22"/>
        </w:rPr>
        <w:t xml:space="preserve">Dr Tito Castillo</w:t>
      </w:r>
    </w:p>
    <w:p>
      <w:pPr>
        <w:spacing w:after="60"/>
      </w:pPr>
      <w:r>
        <w:rPr>
          <w:sz w:val="22"/>
          <w:szCs w:val="22"/>
        </w:rPr>
        <w:t xml:space="preserve">Agile Health Informatics Ltd.</w:t>
      </w:r>
    </w:p>
    <w:p>
      <w:pPr>
        <w:spacing w:after="600"/>
      </w:pPr>
      <w:r>
        <w:rPr>
          <w:sz w:val="22"/>
          <w:szCs w:val="22"/>
        </w:rPr>
        <w:t xml:space="preserve">26 October 2026</w:t>
      </w:r>
    </w:p>
    <w:p>
      <w:pPr>
        <w:spacing w:after="80"/>
      </w:pPr>
      <w:r>
        <w:rPr>
          <w:color w:val="595959"/>
          <w:sz w:val="19"/>
          <w:szCs w:val="19"/>
        </w:rPr>
        <w:t xml:space="preserve">Prepared as part of a consultation response. This is not a publication of HIQA, the Department of Health or any HealthData@IE partner.</w:t>
      </w:r>
    </w:p>
    <w:p>
      <w:pPr>
        <w:spacing w:after="80"/>
      </w:pPr>
      <w:r>
        <w:rPr>
          <w:color w:val="595959"/>
          <w:sz w:val="19"/>
          <w:szCs w:val="19"/>
        </w:rPr>
        <w:t xml:space="preserve">Prepared with substantial use of generative AI tools. See the transparency statement in section 1.</w:t>
      </w:r>
    </w:p>
    <w:p>
      <w:r>
        <w:rPr>
          <w:color w:val="595959"/>
          <w:sz w:val="19"/>
          <w:szCs w:val="19"/>
        </w:rPr>
        <w:t xml:space="preserve">Copyright © 2026 Agile Health Informatics Ltd.</w:t>
      </w:r>
    </w:p>
    <w:p>
      <w:r>
        <w:br w:type="page"/>
      </w:r>
    </w:p>
    <w:p>
      <w:pPr>
        <w:spacing w:after="200"/>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About this report</w:t>
      </w:r>
    </w:p>
    <w:p>
      <w:pPr>
        <w:spacing w:after="140" w:line="288"/>
      </w:pPr>
      <w:r>
        <w:t xml:space="preserve">In May 2026, HIQA published the </w:t>
      </w:r>
      <w:r>
        <w:rPr>
          <w:i/>
          <w:iCs/>
        </w:rPr>
        <w:t xml:space="preserve">National Health Dataset Catalogue: Requirements and Specifications Report</w:t>
      </w:r>
      <w:r>
        <w:t xml:space="preserve"> (HealthData@IE Deliverable 6.1). It sets out what Ireland's National Health Dataset Catalogue must do to meet the European Health Data Space (EHDS) regulation. In this report it is called </w:t>
      </w:r>
      <w:r>
        <w:rPr>
          <w:b/>
          <w:bCs/>
        </w:rPr>
        <w:t xml:space="preserve">Deliverable 6.1</w:t>
      </w:r>
      <w:r>
        <w:t xml:space="preserve">.</w:t>
      </w:r>
    </w:p>
    <w:p>
      <w:pPr>
        <w:spacing w:after="140" w:line="288"/>
      </w:pPr>
      <w:r>
        <w:t xml:space="preserve">Alongside this report I have prepared a </w:t>
      </w:r>
      <w:r>
        <w:rPr>
          <w:b/>
          <w:bCs/>
        </w:rPr>
        <w:t xml:space="preserve">proposed reference specification</w:t>
      </w:r>
      <w:r>
        <w:t xml:space="preserve"> for the catalogue, version 0.3, supplied as the file nhdsc-specification-v0-3.html. It is intended to replace Deliverable 6.1 as the basis for procurement and acceptance testing, once the owning bodies have taken the decisions it identifies.</w:t>
      </w:r>
    </w:p>
    <w:p>
      <w:pPr>
        <w:spacing w:after="140" w:line="288"/>
      </w:pPr>
      <w:r>
        <w:t xml:space="preserve">This report does three things:</w:t>
      </w:r>
    </w:p>
    <w:p>
      <w:pPr>
        <w:pStyle w:val="ListParagraph"/>
        <w:numPr>
          <w:ilvl w:val="0"/>
          <w:numId w:val="2"/>
        </w:numPr>
        <w:spacing w:after="80" w:line="276"/>
      </w:pPr>
      <w:r>
        <w:rPr>
          <w:b/>
          <w:bCs/>
        </w:rPr>
        <w:t xml:space="preserve">Section 3</w:t>
      </w:r>
      <w:r>
        <w:t xml:space="preserve"> critiques Deliverable 6.1: what it does well, and the problems that would cause difficulty if it were used to build the catalogue.</w:t>
      </w:r>
    </w:p>
    <w:p>
      <w:pPr>
        <w:pStyle w:val="ListParagraph"/>
        <w:numPr>
          <w:ilvl w:val="0"/>
          <w:numId w:val="2"/>
        </w:numPr>
        <w:spacing w:after="80" w:line="276"/>
      </w:pPr>
      <w:r>
        <w:rPr>
          <w:b/>
          <w:bCs/>
        </w:rPr>
        <w:t xml:space="preserve">Section 4</w:t>
      </w:r>
      <w:r>
        <w:t xml:space="preserve"> explains the main choices made in drafting the proposed specification, and why each was made.</w:t>
      </w:r>
    </w:p>
    <w:p>
      <w:pPr>
        <w:pStyle w:val="ListParagraph"/>
        <w:numPr>
          <w:ilvl w:val="0"/>
          <w:numId w:val="2"/>
        </w:numPr>
        <w:spacing w:after="80" w:line="276"/>
      </w:pPr>
      <w:r>
        <w:rPr>
          <w:b/>
          <w:bCs/>
        </w:rPr>
        <w:t xml:space="preserve">Section 5</w:t>
      </w:r>
      <w:r>
        <w:t xml:space="preserve"> explains why the specification is written in ReSpec, a web-based format used for international standards.</w:t>
      </w:r>
    </w:p>
    <w:p>
      <w:pPr>
        <w:spacing w:after="140" w:line="288"/>
      </w:pPr>
      <w:r>
        <w:t xml:space="preserve">It is written for readers without a background in standards development or data management. Technical terms are explained where they are used, and a glossary is provided in Appendix B. References such as </w:t>
      </w:r>
      <w:r>
        <w:rPr>
          <w:b/>
          <w:bCs/>
        </w:rPr>
        <w:t xml:space="preserve">FR 02</w:t>
      </w:r>
      <w:r>
        <w:t xml:space="preserve"> are to requirements in Deliverable 6.1. References such as </w:t>
      </w:r>
      <w:r>
        <w:rPr>
          <w:b/>
          <w:bCs/>
        </w:rPr>
        <w:t xml:space="preserve">AC-02</w:t>
      </w:r>
      <w:r>
        <w:t xml:space="preserve"> are to requirements in the proposed specification.</w:t>
      </w:r>
    </w:p>
    <w:p>
      <w:pPr>
        <w:pStyle w:val="Heading2"/>
      </w:pPr>
      <w:r>
        <w:t xml:space="preserve">Status of this report</w:t>
      </w:r>
    </w:p>
    <w:p>
      <w:pPr>
        <w:spacing w:after="140" w:line="288"/>
      </w:pPr>
      <w:r>
        <w:t xml:space="preserve">The proposed specification is a design proposal. It has been prepared carefully and checked for internal consistency, but none of the controls it describes has yet been built or tested in working software. The report should be read in that light: it explains why the design is as it is, not that the design has been proven.</w:t>
      </w:r>
    </w:p>
    <w:p>
      <w:pPr>
        <w:pStyle w:val="Heading2"/>
      </w:pPr>
      <w:r>
        <w:t xml:space="preserve">Transparency statement: use of generative AI</w:t>
      </w:r>
    </w:p>
    <w:p>
      <w:pPr>
        <w:spacing w:after="140" w:line="288"/>
      </w:pPr>
      <w:r>
        <w:t xml:space="preserve">This report and the proposed specification were produced with substantial use of generative AI tools. This statement describes how, so that readers can judge the work accordingly.</w:t>
      </w:r>
    </w:p>
    <w:p>
      <w:pPr>
        <w:spacing w:after="140" w:line="288"/>
      </w:pPr>
      <w:r>
        <w:rPr>
          <w:b/>
          <w:bCs/>
        </w:rPr>
        <w:t xml:space="preserve">Tools used.</w:t>
      </w:r>
      <w:r>
        <w:t xml:space="preserve"> Two generative AI systems were used:</w:t>
      </w:r>
    </w:p>
    <w:p>
      <w:pPr>
        <w:pStyle w:val="ListParagraph"/>
        <w:numPr>
          <w:ilvl w:val="0"/>
          <w:numId w:val="2"/>
        </w:numPr>
        <w:spacing w:after="80" w:line="276"/>
      </w:pPr>
      <w:r>
        <w:rPr>
          <w:b/>
          <w:bCs/>
        </w:rPr>
        <w:t xml:space="preserve">Claude</w:t>
      </w:r>
      <w:r>
        <w:t xml:space="preserve"> (Anthropic) was the primary drafting tool. It read Deliverable 6.1 and the relevant European sources, drafted the critique, drafted the specification and this report, and wrote the text, tables and diagrams in both.</w:t>
      </w:r>
    </w:p>
    <w:p>
      <w:pPr>
        <w:pStyle w:val="ListParagraph"/>
        <w:numPr>
          <w:ilvl w:val="0"/>
          <w:numId w:val="2"/>
        </w:numPr>
        <w:spacing w:after="80" w:line="276"/>
      </w:pPr>
      <w:r>
        <w:rPr>
          <w:b/>
          <w:bCs/>
        </w:rPr>
        <w:t xml:space="preserve">ChatGPT</w:t>
      </w:r>
      <w:r>
        <w:t xml:space="preserve"> (OpenAI) was used as a separate, adversarial reviewer. It produced an initial critique of Deliverable 6.1, which served as a starting guide, and then critically reviewed successive drafts of the specification.</w:t>
      </w:r>
    </w:p>
    <w:p>
      <w:pPr>
        <w:spacing w:after="140" w:line="288"/>
      </w:pPr>
      <w:r>
        <w:rPr>
          <w:b/>
          <w:bCs/>
        </w:rPr>
        <w:t xml:space="preserve">Approach.</w:t>
      </w:r>
      <w:r>
        <w:t xml:space="preserve"> The work was iterative and directed by the author throughout:</w:t>
      </w:r>
    </w:p>
    <w:p>
      <w:pPr>
        <w:pStyle w:val="ListParagraph"/>
        <w:numPr>
          <w:ilvl w:val="0"/>
          <w:numId w:val="3"/>
        </w:numPr>
        <w:spacing w:after="80" w:line="276"/>
      </w:pPr>
      <w:r>
        <w:t xml:space="preserve">The author supplied Deliverable 6.1 and set the purpose, audience and scope of each output.</w:t>
      </w:r>
    </w:p>
    <w:p>
      <w:pPr>
        <w:pStyle w:val="ListParagraph"/>
        <w:numPr>
          <w:ilvl w:val="0"/>
          <w:numId w:val="3"/>
        </w:numPr>
        <w:spacing w:after="80" w:line="276"/>
      </w:pPr>
      <w:r>
        <w:t xml:space="preserve">Claude analysed Deliverable 6.1, using ChatGPT's initial critique as a guide. Each of ChatGPT's claims was checked against the text of Deliverable 6.1, and external facts were checked against primary sources found by web search, such as the piveau supplier documentation, the EHDS regulation and Implementing Regulation (EU) 2026/2098. Claims that could not be verified were either removed or marked as unverified. This check corrected several of ChatGPT's points and added many findings it had missed.</w:t>
      </w:r>
    </w:p>
    <w:p>
      <w:pPr>
        <w:pStyle w:val="ListParagraph"/>
        <w:numPr>
          <w:ilvl w:val="0"/>
          <w:numId w:val="3"/>
        </w:numPr>
        <w:spacing w:after="80" w:line="276"/>
      </w:pPr>
      <w:r>
        <w:t xml:space="preserve">Claude drafted the specification. The draft was then given to ChatGPT for an independent critical review, and Claude revised it in response. This cycle was carried out twice. The second review found the remaining issues narrow and correctable; they were addressed in version 0.3, which has not itself been reviewed again. Each review finding was assessed on its merits rather than accepted automatically; one was accepted only in part.</w:t>
      </w:r>
    </w:p>
    <w:p>
      <w:pPr>
        <w:pStyle w:val="ListParagraph"/>
        <w:numPr>
          <w:ilvl w:val="0"/>
          <w:numId w:val="3"/>
        </w:numPr>
        <w:spacing w:after="80" w:line="276"/>
      </w:pPr>
      <w:r>
        <w:t xml:space="preserve">Software checks, run by Claude, confirmed the specification's internal structure: that requirement identifiers are unique and every cross-reference points to something that exists. These checks confirm structure, not correctness.</w:t>
      </w:r>
    </w:p>
    <w:p>
      <w:pPr>
        <w:pStyle w:val="ListParagraph"/>
        <w:numPr>
          <w:ilvl w:val="0"/>
          <w:numId w:val="3"/>
        </w:numPr>
        <w:spacing w:after="80" w:line="276"/>
      </w:pPr>
      <w:r>
        <w:t xml:space="preserve">The author directed each stage and made the decisions that are his to make, including the output formats, the audience for each document, and how the work is attributed.</w:t>
      </w:r>
    </w:p>
    <w:p>
      <w:pPr>
        <w:spacing w:after="140" w:line="288"/>
      </w:pPr>
      <w:r>
        <w:rPr>
          <w:b/>
          <w:bCs/>
        </w:rPr>
        <w:t xml:space="preserve">Limitations.</w:t>
      </w:r>
      <w:r>
        <w:t xml:space="preserve"> Readers should bear in mind that:</w:t>
      </w:r>
    </w:p>
    <w:p>
      <w:pPr>
        <w:pStyle w:val="ListParagraph"/>
        <w:numPr>
          <w:ilvl w:val="0"/>
          <w:numId w:val="2"/>
        </w:numPr>
        <w:spacing w:after="80" w:line="276"/>
      </w:pPr>
      <w:r>
        <w:t xml:space="preserve">Generative AI can produce text that is fluent but wrong. Both tools are capable of error, and using one to review the other reduces this risk but does not remove it.</w:t>
      </w:r>
    </w:p>
    <w:p>
      <w:pPr>
        <w:pStyle w:val="ListParagraph"/>
        <w:numPr>
          <w:ilvl w:val="0"/>
          <w:numId w:val="2"/>
        </w:numPr>
        <w:spacing w:after="80" w:line="276"/>
      </w:pPr>
      <w:r>
        <w:t xml:space="preserve">The adversarial reviews were carried out by an AI system, not by human subject-matter experts. No independent human expert review has yet taken place; section 6 recommends one before the specification is used for procurement.</w:t>
      </w:r>
    </w:p>
    <w:p>
      <w:pPr>
        <w:pStyle w:val="ListParagraph"/>
        <w:numPr>
          <w:ilvl w:val="0"/>
          <w:numId w:val="2"/>
        </w:numPr>
        <w:spacing w:after="80" w:line="276"/>
      </w:pPr>
      <w:r>
        <w:t xml:space="preserve">Suggested parameter values and the plain-language comparisons are drafting judgements. They are not drawn from evidence.</w:t>
      </w:r>
    </w:p>
    <w:p>
      <w:pPr>
        <w:pStyle w:val="ListParagraph"/>
        <w:numPr>
          <w:ilvl w:val="0"/>
          <w:numId w:val="2"/>
        </w:numPr>
        <w:spacing w:after="80" w:line="276"/>
      </w:pPr>
      <w:r>
        <w:t xml:space="preserve">The analysis relies only on public documents. No personal or confidential data was given to either tool.</w:t>
      </w:r>
    </w:p>
    <w:p>
      <w:pPr>
        <w:spacing w:after="140" w:line="288"/>
      </w:pPr>
      <w:r>
        <w:rPr>
          <w:b/>
          <w:bCs/>
        </w:rPr>
        <w:t xml:space="preserve">Accountability.</w:t>
      </w:r>
      <w:r>
        <w:t xml:space="preserve"> The author takes responsibility for the content of this report and the proposed specification, including any errors.</w:t>
      </w:r>
    </w:p>
    <w:p>
      <w:pPr>
        <w:pStyle w:val="Heading1"/>
        <w:pageBreakBefore/>
      </w:pPr>
      <w:r>
        <w:t xml:space="preserve">2. Summary</w:t>
      </w:r>
    </w:p>
    <w:p>
      <w:pPr>
        <w:spacing w:after="140" w:line="288"/>
      </w:pPr>
      <w:r>
        <w:t xml:space="preserve">Deliverable 6.1 is a thoughtful and well-researched starting point. It is grounded in the EHDS regulation, was developed with a cross-sector working group, reused European tools, and was tested with a prototype. Its authors also identified the most important architectural question: the difference between listing datasets and managing what the data in them means.</w:t>
      </w:r>
    </w:p>
    <w:p>
      <w:pPr>
        <w:spacing w:after="140" w:line="288"/>
      </w:pPr>
      <w:r>
        <w:t xml:space="preserve">It is not yet reliable enough to build from. A requirements specification works like a clinical protocol: the people carrying it out must be able to follow it exactly, without guessing, and two people reading it should reach the same answer. Deliverable 6.1 falls short of that standard in six main ways:</w:t>
      </w:r>
    </w:p>
    <w:p>
      <w:pPr>
        <w:pStyle w:val="ListParagraph"/>
        <w:numPr>
          <w:ilvl w:val="0"/>
          <w:numId w:val="4"/>
        </w:numPr>
        <w:spacing w:after="80" w:line="276"/>
      </w:pPr>
      <w:r>
        <w:rPr>
          <w:b/>
          <w:bCs/>
        </w:rPr>
        <w:t xml:space="preserve">It contradicts itself.</w:t>
      </w:r>
      <w:r>
        <w:t xml:space="preserve"> Most importantly, it says both that anyone can search the catalogue and that users must log in and be approved. European law requires the catalogue to be public.</w:t>
      </w:r>
    </w:p>
    <w:p>
      <w:pPr>
        <w:pStyle w:val="ListParagraph"/>
        <w:numPr>
          <w:ilvl w:val="0"/>
          <w:numId w:val="4"/>
        </w:numPr>
        <w:spacing w:after="80" w:line="276"/>
      </w:pPr>
      <w:r>
        <w:rPr>
          <w:b/>
          <w:bCs/>
        </w:rPr>
        <w:t xml:space="preserve">It has no defined stages for a record,</w:t>
      </w:r>
      <w:r>
        <w:t xml:space="preserve"> and its links between requirements and business needs are misaligned throughout.</w:t>
      </w:r>
    </w:p>
    <w:p>
      <w:pPr>
        <w:pStyle w:val="ListParagraph"/>
        <w:numPr>
          <w:ilvl w:val="0"/>
          <w:numId w:val="4"/>
        </w:numPr>
        <w:spacing w:after="80" w:line="276"/>
      </w:pPr>
      <w:r>
        <w:rPr>
          <w:b/>
          <w:bCs/>
        </w:rPr>
        <w:t xml:space="preserve">It describes the recommended software incorrectly,</w:t>
      </w:r>
      <w:r>
        <w:t xml:space="preserve"> giving the wrong component the job of publishing and naming an unrelated commercial product as part of the platform.</w:t>
      </w:r>
    </w:p>
    <w:p>
      <w:pPr>
        <w:pStyle w:val="ListParagraph"/>
        <w:numPr>
          <w:ilvl w:val="0"/>
          <w:numId w:val="4"/>
        </w:numPr>
        <w:spacing w:after="80" w:line="276"/>
      </w:pPr>
      <w:r>
        <w:rPr>
          <w:b/>
          <w:bCs/>
        </w:rPr>
        <w:t xml:space="preserve">It lists datasets without capturing what their contents mean,</w:t>
      </w:r>
      <w:r>
        <w:t xml:space="preserve"> so two datasets can look comparable when they are not.</w:t>
      </w:r>
    </w:p>
    <w:p>
      <w:pPr>
        <w:pStyle w:val="ListParagraph"/>
        <w:numPr>
          <w:ilvl w:val="0"/>
          <w:numId w:val="4"/>
        </w:numPr>
        <w:spacing w:after="80" w:line="276"/>
      </w:pPr>
      <w:r>
        <w:rPr>
          <w:b/>
          <w:bCs/>
        </w:rPr>
        <w:t xml:space="preserve">It does not tie quality labels to the data they assess, and puts almost every decision in the hands of one IT administrator.</w:t>
      </w:r>
    </w:p>
    <w:p>
      <w:pPr>
        <w:pStyle w:val="ListParagraph"/>
        <w:numPr>
          <w:ilvl w:val="0"/>
          <w:numId w:val="4"/>
        </w:numPr>
        <w:spacing w:after="80" w:line="276"/>
      </w:pPr>
      <w:r>
        <w:rPr>
          <w:b/>
          <w:bCs/>
        </w:rPr>
        <w:t xml:space="preserve">It pre-dates the EU regulation of September 2026</w:t>
      </w:r>
      <w:r>
        <w:t xml:space="preserve"> that now fixes in law what every dataset description must contain.</w:t>
      </w:r>
    </w:p>
    <w:p>
      <w:pPr>
        <w:spacing w:after="140" w:line="288"/>
      </w:pPr>
      <w:r>
        <w:t xml:space="preserve">Because many of these problems arise from how the document is structured rather than from individual sentences, they cannot be fixed by editing it line by line. The proposed specification therefore rewrites it, keeping its purpose, scope and the stakeholder work behind it.</w:t>
      </w:r>
    </w:p>
    <w:p>
      <w:pPr>
        <w:spacing w:after="140" w:line="288"/>
      </w:pPr>
      <w:r>
        <w:t xml:space="preserve">The proposed specification makes six decisions that need the owning bodies' authority. The most pressing is whether a dataset that legally needs a quality label may be listed before its label is complete. These are set out in section 4.20.</w:t>
      </w:r>
    </w:p>
    <w:p>
      <w:pPr>
        <w:pStyle w:val="Heading1"/>
        <w:pageBreakBefore/>
      </w:pPr>
      <w:r>
        <w:t xml:space="preserve">3. Critique of Deliverable 6.1</w:t>
      </w:r>
    </w:p>
    <w:p>
      <w:pPr>
        <w:pStyle w:val="Heading2"/>
      </w:pPr>
      <w:r>
        <w:t xml:space="preserve">3.1 What Deliverable 6.1 does well</w:t>
      </w:r>
    </w:p>
    <w:p>
      <w:pPr>
        <w:spacing w:after="140" w:line="288"/>
      </w:pPr>
      <w:r>
        <w:t xml:space="preserve">The report has real strengths, and the proposed specification keeps them.</w:t>
      </w:r>
    </w:p>
    <w:p>
      <w:pPr>
        <w:pStyle w:val="ListParagraph"/>
        <w:numPr>
          <w:ilvl w:val="0"/>
          <w:numId w:val="2"/>
        </w:numPr>
        <w:spacing w:after="80" w:line="276"/>
      </w:pPr>
      <w:r>
        <w:rPr>
          <w:b/>
          <w:bCs/>
        </w:rPr>
        <w:t xml:space="preserve">Clear legal grounding.</w:t>
      </w:r>
      <w:r>
        <w:t xml:space="preserve"> It correctly frames the catalogue against EHDS Articles 51, 77 and 79, the 2029 and 2031 deadlines, and the route to the EU catalogue through a national contact point.</w:t>
      </w:r>
    </w:p>
    <w:p>
      <w:pPr>
        <w:pStyle w:val="ListParagraph"/>
        <w:numPr>
          <w:ilvl w:val="0"/>
          <w:numId w:val="2"/>
        </w:numPr>
        <w:spacing w:after="80" w:line="276"/>
      </w:pPr>
      <w:r>
        <w:rPr>
          <w:b/>
          <w:bCs/>
        </w:rPr>
        <w:t xml:space="preserve">Sound method.</w:t>
      </w:r>
      <w:r>
        <w:t xml:space="preserve"> It reviewed European pilot work and three existing Irish catalogues, and tested mock-ups and a prototype with a working group that included the HSE, the National Cancer Registry, patient organisations and others.</w:t>
      </w:r>
    </w:p>
    <w:p>
      <w:pPr>
        <w:pStyle w:val="ListParagraph"/>
        <w:numPr>
          <w:ilvl w:val="0"/>
          <w:numId w:val="2"/>
        </w:numPr>
        <w:spacing w:after="80" w:line="276"/>
      </w:pPr>
      <w:r>
        <w:rPr>
          <w:b/>
          <w:bCs/>
        </w:rPr>
        <w:t xml:space="preserve">The key insight.</w:t>
      </w:r>
      <w:r>
        <w:t xml:space="preserve"> It notes that the European description format (HealthDCAT-AP) gives no guidance on managing metadata, and names ISO/IEC 11179, the international standard for that purpose. This is the most important architectural observation in the document.</w:t>
      </w:r>
    </w:p>
    <w:p>
      <w:pPr>
        <w:pStyle w:val="ListParagraph"/>
        <w:numPr>
          <w:ilvl w:val="0"/>
          <w:numId w:val="2"/>
        </w:numPr>
        <w:spacing w:after="80" w:line="276"/>
      </w:pPr>
      <w:r>
        <w:rPr>
          <w:b/>
          <w:bCs/>
        </w:rPr>
        <w:t xml:space="preserve">Reuse rather than build.</w:t>
      </w:r>
      <w:r>
        <w:t xml:space="preserve"> It adopts piveau, the open-source platform used by the EU's own central health data platform, along with standard identity and validation tools.</w:t>
      </w:r>
    </w:p>
    <w:p>
      <w:pPr>
        <w:pStyle w:val="ListParagraph"/>
        <w:numPr>
          <w:ilvl w:val="0"/>
          <w:numId w:val="2"/>
        </w:numPr>
        <w:spacing w:after="80" w:line="276"/>
      </w:pPr>
      <w:r>
        <w:rPr>
          <w:b/>
          <w:bCs/>
        </w:rPr>
        <w:t xml:space="preserve">Care with history.</w:t>
      </w:r>
      <w:r>
        <w:t xml:space="preserve"> Restoring an earlier description creates a new version rather than overwriting, so past descriptions are never lost.</w:t>
      </w:r>
    </w:p>
    <w:p>
      <w:pPr>
        <w:pStyle w:val="ListParagraph"/>
        <w:numPr>
          <w:ilvl w:val="0"/>
          <w:numId w:val="2"/>
        </w:numPr>
        <w:spacing w:after="80" w:line="276"/>
      </w:pPr>
      <w:r>
        <w:rPr>
          <w:b/>
          <w:bCs/>
        </w:rPr>
        <w:t xml:space="preserve">Honesty about gaps.</w:t>
      </w:r>
      <w:r>
        <w:t xml:space="preserve"> Unresolved points are marked "to be confirmed" rather than guessed.</w:t>
      </w:r>
    </w:p>
    <w:p>
      <w:pPr>
        <w:pStyle w:val="ListParagraph"/>
        <w:numPr>
          <w:ilvl w:val="0"/>
          <w:numId w:val="2"/>
        </w:numPr>
        <w:spacing w:after="80" w:line="276"/>
      </w:pPr>
      <w:r>
        <w:rPr>
          <w:b/>
          <w:bCs/>
        </w:rPr>
        <w:t xml:space="preserve">Accessibility and bilingual delivery</w:t>
      </w:r>
      <w:r>
        <w:t xml:space="preserve"> are treated as requirements, not afterthoughts.</w:t>
      </w:r>
    </w:p>
    <w:p>
      <w:pPr>
        <w:pStyle w:val="Heading2"/>
      </w:pPr>
      <w:r>
        <w:t xml:space="preserve">3.2 Summary of findings</w:t>
      </w:r>
    </w:p>
    <w:p>
      <w:pPr>
        <w:spacing w:after="140" w:line="288"/>
      </w:pPr>
      <w:r>
        <w:t xml:space="preserve">The table below lists the problems found. Severity reflects how likely a problem is to cause failure, delay or rework if Deliverable 6.1 were used to procure and build the catalogue. Sections 3.3 to 3.8 explain each group of findings.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7538"/>
        <w:gridCol w:w="1200"/>
      </w:tblGrid>
      <w:tr>
        <w:trPr>
          <w:cantSplit/>
          <w:tblHeader/>
        </w:trPr>
        <w:tc>
          <w:tcPr>
            <w:tcW w:type="dxa" w:w="900"/>
            <w:tcBorders>
              <w:top w:val="single" w:color="BFBFBF" w:sz="4"/>
              <w:left w:val="single" w:color="BFBFBF" w:sz="4"/>
              <w:bottom w:val="single" w:color="BFBFBF" w:sz="4"/>
              <w:right w:val="single" w:color="BFBFBF" w:sz="4"/>
            </w:tcBorders>
            <w:shd w:fill="DCE6F0" w:color="auto" w:val="clear"/>
            <w:tcMar>
              <w:top w:type="dxa" w:w="70"/>
              <w:left w:type="dxa" w:w="110"/>
              <w:bottom w:type="dxa" w:w="70"/>
              <w:right w:type="dxa" w:w="110"/>
            </w:tcMar>
          </w:tcPr>
          <w:p>
            <w:pPr>
              <w:spacing w:after="40" w:line="264"/>
            </w:pPr>
            <w:r>
              <w:rPr>
                <w:b/>
                <w:bCs/>
                <w:sz w:val="19"/>
                <w:szCs w:val="19"/>
              </w:rPr>
              <w:t xml:space="preserve">ID</w:t>
            </w:r>
          </w:p>
        </w:tc>
        <w:tc>
          <w:tcPr>
            <w:tcW w:type="dxa" w:w="7538"/>
            <w:tcBorders>
              <w:top w:val="single" w:color="BFBFBF" w:sz="4"/>
              <w:left w:val="single" w:color="BFBFBF" w:sz="4"/>
              <w:bottom w:val="single" w:color="BFBFBF" w:sz="4"/>
              <w:right w:val="single" w:color="BFBFBF" w:sz="4"/>
            </w:tcBorders>
            <w:shd w:fill="DCE6F0" w:color="auto" w:val="clear"/>
            <w:tcMar>
              <w:top w:type="dxa" w:w="70"/>
              <w:left w:type="dxa" w:w="110"/>
              <w:bottom w:type="dxa" w:w="70"/>
              <w:right w:type="dxa" w:w="110"/>
            </w:tcMar>
          </w:tcPr>
          <w:p>
            <w:pPr>
              <w:spacing w:after="40" w:line="264"/>
            </w:pPr>
            <w:r>
              <w:rPr>
                <w:b/>
                <w:bCs/>
                <w:sz w:val="19"/>
                <w:szCs w:val="19"/>
              </w:rPr>
              <w:t xml:space="preserve">Finding</w:t>
            </w:r>
          </w:p>
        </w:tc>
        <w:tc>
          <w:tcPr>
            <w:tcW w:type="dxa" w:w="1200"/>
            <w:tcBorders>
              <w:top w:val="single" w:color="BFBFBF" w:sz="4"/>
              <w:left w:val="single" w:color="BFBFBF" w:sz="4"/>
              <w:bottom w:val="single" w:color="BFBFBF" w:sz="4"/>
              <w:right w:val="single" w:color="BFBFBF" w:sz="4"/>
            </w:tcBorders>
            <w:shd w:fill="DCE6F0" w:color="auto" w:val="clear"/>
            <w:tcMar>
              <w:top w:type="dxa" w:w="70"/>
              <w:left w:type="dxa" w:w="110"/>
              <w:bottom w:type="dxa" w:w="70"/>
              <w:right w:type="dxa" w:w="110"/>
            </w:tcMar>
          </w:tcPr>
          <w:p>
            <w:pPr>
              <w:spacing w:after="40" w:line="264"/>
            </w:pPr>
            <w:r>
              <w:rPr>
                <w:b/>
                <w:bCs/>
                <w:sz w:val="19"/>
                <w:szCs w:val="19"/>
              </w:rPr>
              <w:t xml:space="preserve">Severity</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F01</w:t>
            </w:r>
          </w:p>
        </w:tc>
        <w:tc>
          <w:tcPr>
            <w:tcW w:type="dxa" w:w="7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Public access contradicts itself: search is open in one place and requires login and administrator approval in others</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High</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F02</w:t>
            </w:r>
          </w:p>
        </w:tc>
        <w:tc>
          <w:tcPr>
            <w:tcW w:type="dxa" w:w="7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Seven further pairs of requirements contradict each other</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High</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F03</w:t>
            </w:r>
          </w:p>
        </w:tc>
        <w:tc>
          <w:tcPr>
            <w:tcW w:type="dxa" w:w="7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No defined stages for a record; nine different status names; no way to send a description back for correction</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High</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F04</w:t>
            </w:r>
          </w:p>
        </w:tc>
        <w:tc>
          <w:tcPr>
            <w:tcW w:type="dxa" w:w="7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Links between business requirements and detailed requirements are misaligned throughout; one requirement is missing; references point to sections that do not exist</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High</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F05</w:t>
            </w:r>
          </w:p>
        </w:tc>
        <w:tc>
          <w:tcPr>
            <w:tcW w:type="dxa" w:w="7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Requirements bundle many obligations together and mix legal rules with screen design</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Medium</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F06</w:t>
            </w:r>
          </w:p>
        </w:tc>
        <w:tc>
          <w:tcPr>
            <w:tcW w:type="dxa" w:w="7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recommended software platform is described incorrectly</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Critical</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F07</w:t>
            </w:r>
          </w:p>
        </w:tc>
        <w:tc>
          <w:tcPr>
            <w:tcW w:type="dxa" w:w="7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An unrelated commercial product and several other technical errors appear in the design</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High</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F08</w:t>
            </w:r>
          </w:p>
        </w:tc>
        <w:tc>
          <w:tcPr>
            <w:tcW w:type="dxa" w:w="7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An automated format check is presented as proof of legal compliance</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High</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F09</w:t>
            </w:r>
          </w:p>
        </w:tc>
        <w:tc>
          <w:tcPr>
            <w:tcW w:type="dxa" w:w="7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catalogue lists datasets but does not capture what their contents mean</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Critical</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F10</w:t>
            </w:r>
          </w:p>
        </w:tc>
        <w:tc>
          <w:tcPr>
            <w:tcW w:type="dxa" w:w="7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Four conflicting identifier schemes; dataset identity is fused with organisation and version</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High</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F11</w:t>
            </w:r>
          </w:p>
        </w:tc>
        <w:tc>
          <w:tcPr>
            <w:tcW w:type="dxa" w:w="7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Quality labels are not enforced, not tied to the data they assess, and their structure is not settled</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High</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F12</w:t>
            </w:r>
          </w:p>
        </w:tc>
        <w:tc>
          <w:tcPr>
            <w:tcW w:type="dxa" w:w="7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Almost every decision rests with a single IT administrator role</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High</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F13</w:t>
            </w:r>
          </w:p>
        </w:tc>
        <w:tc>
          <w:tcPr>
            <w:tcW w:type="dxa" w:w="7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Manual entry is the only way to supply descriptions</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High</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F14</w:t>
            </w:r>
          </w:p>
        </w:tc>
        <w:tc>
          <w:tcPr>
            <w:tcW w:type="dxa" w:w="7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Some catalogue duties in the regulation are not covered</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Medium</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F15</w:t>
            </w:r>
          </w:p>
        </w:tc>
        <w:tc>
          <w:tcPr>
            <w:tcW w:type="dxa" w:w="7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Basic planning figures are blank while unrelated capacity figures are specified</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High</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F16</w:t>
            </w:r>
          </w:p>
        </w:tc>
        <w:tc>
          <w:tcPr>
            <w:tcW w:type="dxa" w:w="7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Security and privacy requirements are largely missing</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High</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F17</w:t>
            </w:r>
          </w:p>
        </w:tc>
        <w:tc>
          <w:tcPr>
            <w:tcW w:type="dxa" w:w="7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Records of approval decisions are not protected like evidence</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High</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F18</w:t>
            </w:r>
          </w:p>
        </w:tc>
        <w:tc>
          <w:tcPr>
            <w:tcW w:type="dxa" w:w="7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metadata model is out of date with EU law adopted in September 2026</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High</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F19</w:t>
            </w:r>
          </w:p>
        </w:tc>
        <w:tc>
          <w:tcPr>
            <w:tcW w:type="dxa" w:w="7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software architecture is chosen without comparing options, and includes text from a different system</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Medium</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F20</w:t>
            </w:r>
          </w:p>
        </w:tc>
        <w:tc>
          <w:tcPr>
            <w:tcW w:type="dxa" w:w="7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No version number, status or change log</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Medium</w:t>
            </w:r>
          </w:p>
        </w:tc>
      </w:tr>
    </w:tbl>
    <w:p>
      <w:pPr>
        <w:spacing w:after="200" w:before="60"/>
      </w:pPr>
      <w:r>
        <w:rPr>
          <w:i/>
          <w:iCs/>
          <w:color w:val="595959"/>
          <w:sz w:val="19"/>
          <w:szCs w:val="19"/>
        </w:rPr>
        <w:t xml:space="preserve">Table 1. Findings on Deliverable 6.1</w:t>
      </w:r>
    </w:p>
    <w:p>
      <w:pPr>
        <w:pStyle w:val="Heading2"/>
      </w:pPr>
      <w:r>
        <w:t xml:space="preserve">3.3 The requirements contradict themselves (F01–F05, F20)</w:t>
      </w:r>
    </w:p>
    <w:p>
      <w:pPr>
        <w:spacing w:after="140" w:line="288"/>
      </w:pPr>
      <w:r>
        <w:rPr>
          <w:b/>
          <w:bCs/>
        </w:rPr>
        <w:t xml:space="preserve">Public access (F01).</w:t>
      </w:r>
      <w:r>
        <w:t xml:space="preserve"> The note to FR 02 says search, export and comparison work without logging in. The same requirement then says users "must authenticate to search for datasets". Section 3.5 and the data flow in section 3.6.3 both begin discovery with a login, and NFR 05 requires an administrator to approve every account, including members of the public, and rejects personal email addresses. Article 77 of the EHDS requires a publicly available catalogue, so only open access is lawful. A catalogue behind a login would exclude patients, journalists, students and many researchers.</w:t>
      </w:r>
    </w:p>
    <w:p>
      <w:pPr>
        <w:spacing w:after="140" w:line="288"/>
      </w:pPr>
      <w:r>
        <w:rPr>
          <w:b/>
          <w:bCs/>
        </w:rPr>
        <w:t xml:space="preserve">Other contradictions (F02).</w:t>
      </w:r>
      <w:r>
        <w:t xml:space="preserve"> At least seven further pairs of requirements disagree: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19"/>
        <w:gridCol w:w="3519"/>
      </w:tblGrid>
      <w:tr>
        <w:trPr>
          <w:cantSplit/>
          <w:tblHeader/>
        </w:trPr>
        <w:tc>
          <w:tcPr>
            <w:tcW w:type="dxa" w:w="2600"/>
            <w:tcBorders>
              <w:top w:val="single" w:color="BFBFBF" w:sz="4"/>
              <w:left w:val="single" w:color="BFBFBF" w:sz="4"/>
              <w:bottom w:val="single" w:color="BFBFBF" w:sz="4"/>
              <w:right w:val="single" w:color="BFBFBF" w:sz="4"/>
            </w:tcBorders>
            <w:shd w:fill="DCE6F0" w:color="auto" w:val="clear"/>
            <w:tcMar>
              <w:top w:type="dxa" w:w="70"/>
              <w:left w:type="dxa" w:w="110"/>
              <w:bottom w:type="dxa" w:w="70"/>
              <w:right w:type="dxa" w:w="110"/>
            </w:tcMar>
          </w:tcPr>
          <w:p>
            <w:pPr>
              <w:spacing w:after="40" w:line="264"/>
            </w:pPr>
            <w:r>
              <w:rPr>
                <w:b/>
                <w:bCs/>
                <w:sz w:val="19"/>
                <w:szCs w:val="19"/>
              </w:rPr>
              <w:t xml:space="preserve">Topic</w:t>
            </w:r>
          </w:p>
        </w:tc>
        <w:tc>
          <w:tcPr>
            <w:tcW w:type="dxa" w:w="3519"/>
            <w:tcBorders>
              <w:top w:val="single" w:color="BFBFBF" w:sz="4"/>
              <w:left w:val="single" w:color="BFBFBF" w:sz="4"/>
              <w:bottom w:val="single" w:color="BFBFBF" w:sz="4"/>
              <w:right w:val="single" w:color="BFBFBF" w:sz="4"/>
            </w:tcBorders>
            <w:shd w:fill="DCE6F0" w:color="auto" w:val="clear"/>
            <w:tcMar>
              <w:top w:type="dxa" w:w="70"/>
              <w:left w:type="dxa" w:w="110"/>
              <w:bottom w:type="dxa" w:w="70"/>
              <w:right w:type="dxa" w:w="110"/>
            </w:tcMar>
          </w:tcPr>
          <w:p>
            <w:pPr>
              <w:spacing w:after="40" w:line="264"/>
            </w:pPr>
            <w:r>
              <w:rPr>
                <w:b/>
                <w:bCs/>
                <w:sz w:val="19"/>
                <w:szCs w:val="19"/>
              </w:rPr>
              <w:t xml:space="preserve">One requirement says</w:t>
            </w:r>
          </w:p>
        </w:tc>
        <w:tc>
          <w:tcPr>
            <w:tcW w:type="dxa" w:w="3519"/>
            <w:tcBorders>
              <w:top w:val="single" w:color="BFBFBF" w:sz="4"/>
              <w:left w:val="single" w:color="BFBFBF" w:sz="4"/>
              <w:bottom w:val="single" w:color="BFBFBF" w:sz="4"/>
              <w:right w:val="single" w:color="BFBFBF" w:sz="4"/>
            </w:tcBorders>
            <w:shd w:fill="DCE6F0" w:color="auto" w:val="clear"/>
            <w:tcMar>
              <w:top w:type="dxa" w:w="70"/>
              <w:left w:type="dxa" w:w="110"/>
              <w:bottom w:type="dxa" w:w="70"/>
              <w:right w:type="dxa" w:w="110"/>
            </w:tcMar>
          </w:tcPr>
          <w:p>
            <w:pPr>
              <w:spacing w:after="40" w:line="264"/>
            </w:pPr>
            <w:r>
              <w:rPr>
                <w:b/>
                <w:bCs/>
                <w:sz w:val="19"/>
                <w:szCs w:val="19"/>
              </w:rPr>
              <w:t xml:space="preserve">Another says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Export with nothing selected</w:t>
            </w:r>
          </w:p>
        </w:tc>
        <w:tc>
          <w:tcPr>
            <w:tcW w:type="dxa" w:w="35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FR 017: export is disabled</w:t>
            </w:r>
          </w:p>
        </w:tc>
        <w:tc>
          <w:tcPr>
            <w:tcW w:type="dxa" w:w="35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NFR 018: everything visible is exported</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Approving a deletion</w:t>
            </w:r>
          </w:p>
        </w:tc>
        <w:tc>
          <w:tcPr>
            <w:tcW w:type="dxa" w:w="35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FR 09: System Admin gives final approval</w:t>
            </w:r>
          </w:p>
        </w:tc>
        <w:tc>
          <w:tcPr>
            <w:tcW w:type="dxa" w:w="35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NFR 012: Data Holder Admin confirms; no System Admin step</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Undoing a deletion</w:t>
            </w:r>
          </w:p>
        </w:tc>
        <w:tc>
          <w:tcPr>
            <w:tcW w:type="dxa" w:w="35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NFR 012 dialog: "cannot be undone"</w:t>
            </w:r>
          </w:p>
        </w:tc>
        <w:tc>
          <w:tcPr>
            <w:tcW w:type="dxa" w:w="35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Same requirement: record is kept and can be restored</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Datasets compared at once</w:t>
            </w:r>
          </w:p>
        </w:tc>
        <w:tc>
          <w:tcPr>
            <w:tcW w:type="dxa" w:w="35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FR 021: two</w:t>
            </w:r>
          </w:p>
        </w:tc>
        <w:tc>
          <w:tcPr>
            <w:tcW w:type="dxa" w:w="35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NFR 022: up to three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Speed of filtering</w:t>
            </w:r>
          </w:p>
        </w:tc>
        <w:tc>
          <w:tcPr>
            <w:tcW w:type="dxa" w:w="35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NFR 017: 0.5 seconds</w:t>
            </w:r>
          </w:p>
        </w:tc>
        <w:tc>
          <w:tcPr>
            <w:tcW w:type="dxa" w:w="35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NFR 021: 2 seconds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Review dashboard load</w:t>
            </w:r>
          </w:p>
        </w:tc>
        <w:tc>
          <w:tcPr>
            <w:tcW w:type="dxa" w:w="35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NFR 010: under 2 seconds for 1,000 items</w:t>
            </w:r>
          </w:p>
        </w:tc>
        <w:tc>
          <w:tcPr>
            <w:tcW w:type="dxa" w:w="35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Same requirement: 2 seconds for 200 items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Two-factor sign-in</w:t>
            </w:r>
          </w:p>
        </w:tc>
        <w:tc>
          <w:tcPr>
            <w:tcW w:type="dxa" w:w="35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Section 3.5: central identity service with authenticator apps or security keys</w:t>
            </w:r>
          </w:p>
        </w:tc>
        <w:tc>
          <w:tcPr>
            <w:tcW w:type="dxa" w:w="35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NFR 05: a bespoke form sending codes by email</w:t>
            </w:r>
          </w:p>
        </w:tc>
      </w:tr>
    </w:tbl>
    <w:p>
      <w:pPr>
        <w:spacing w:after="200" w:before="60"/>
      </w:pPr>
      <w:r>
        <w:rPr>
          <w:i/>
          <w:iCs/>
          <w:color w:val="595959"/>
          <w:sz w:val="19"/>
          <w:szCs w:val="19"/>
        </w:rPr>
        <w:t xml:space="preserve">Table 2. Contradictory requirements in Deliverable 6.1</w:t>
      </w:r>
    </w:p>
    <w:p>
      <w:pPr>
        <w:spacing w:after="140" w:line="288"/>
      </w:pPr>
      <w:r>
        <w:t xml:space="preserve">A supplier cannot build both halves of a contradiction, and a tester cannot pass both. It is like a protocol that gives one dose on page 20 and another on page 80.</w:t>
      </w:r>
    </w:p>
    <w:p>
      <w:pPr>
        <w:spacing w:after="140" w:line="288"/>
      </w:pPr>
      <w:r>
        <w:rPr>
          <w:b/>
          <w:bCs/>
        </w:rPr>
        <w:t xml:space="preserve">No defined stages (F03).</w:t>
      </w:r>
      <w:r>
        <w:t xml:space="preserve"> A description moves through stages: drafted, checked, published, perhaps later withdrawn. Deliverable 6.1 uses nine status names in different places, some only once. One screen shows a "Rejected" status, but no process for rejecting anything exists: the reviewer's only option is to "revoke", so asking for a typo to be fixed and withdrawing a dataset from public view are the same action. Nor does it say what the public sees while a correction to a published description is waiting for approval.</w:t>
      </w:r>
    </w:p>
    <w:p>
      <w:pPr>
        <w:spacing w:after="140" w:line="288"/>
      </w:pPr>
      <w:r>
        <w:rPr>
          <w:b/>
          <w:bCs/>
        </w:rPr>
        <w:t xml:space="preserve">Traceability (F04).</w:t>
      </w:r>
      <w:r>
        <w:t xml:space="preserve"> The requirements traceability matrix in section 2.2 is meant to show which detailed requirements serve each business need. Its non-functional column is misaligned by one row throughout, so, for example, the page footer is listed as serving "metadata record creation". FR 023 (the dataset basket) is missing from the matrix and from the list of epics, and FR 02 cites it under the wrong number. NFR 015 refers to sections 2.7.10 and 2.7.11, which do not exist. No requirement is traced to the article of the regulation it implements or to how it will be tested.</w:t>
      </w:r>
    </w:p>
    <w:p>
      <w:pPr>
        <w:spacing w:after="140" w:line="288"/>
      </w:pPr>
      <w:r>
        <w:rPr>
          <w:b/>
          <w:bCs/>
        </w:rPr>
        <w:t xml:space="preserve">Structure (F05).</w:t>
      </w:r>
      <w:r>
        <w:t xml:space="preserve"> A single numbered requirement can contain forty separate instructions, from legal obligations to the wording on a loading spinner and the number of rows per page. This buries the important rules, makes contradictions hard to spot, and means a requirement can be two-thirds met. It also means any small change of screen design would formally require amending the national specification.</w:t>
      </w:r>
    </w:p>
    <w:p>
      <w:pPr>
        <w:spacing w:after="140" w:line="288"/>
      </w:pPr>
      <w:r>
        <w:rPr>
          <w:b/>
          <w:bCs/>
        </w:rPr>
        <w:t xml:space="preserve">Document control (F20).</w:t>
      </w:r>
      <w:r>
        <w:t xml:space="preserve"> The deliverable was due in October 2025 and published in May 2026, with no version number, status or record of what changed. When several organisations build, buy and test against one document, all must be sure they are reading the same version.</w:t>
      </w:r>
    </w:p>
    <w:p>
      <w:pPr>
        <w:pStyle w:val="Heading2"/>
      </w:pPr>
      <w:r>
        <w:t xml:space="preserve">3.4 The technical design contains errors (F06–F08, F19)</w:t>
      </w:r>
    </w:p>
    <w:p>
      <w:pPr>
        <w:spacing w:after="140" w:line="288"/>
      </w:pPr>
      <w:r>
        <w:rPr>
          <w:b/>
          <w:bCs/>
        </w:rPr>
        <w:t xml:space="preserve">The software platform (F06).</w:t>
      </w:r>
      <w:r>
        <w:t xml:space="preserve"> Deliverable 6.1 recommends piveau, a sensible choice. But its description of piveau's parts does not match the supplier's own documentation. It says the "Consus" component publishes records and synchronises them with the EU; Consus is in fact the component that imports and transforms metadata from other sources. It says the "Hub" component stores records in Elasticsearch; Hub stores them in a different kind of database (a triplestore) and uses Elasticsearch only as a search index. It also relies on a "Piveau Staging" component that does not appear in piveau's published documentation.</w:t>
      </w:r>
    </w:p>
    <w:p>
      <w:pPr>
        <w:spacing w:after="140" w:line="288"/>
      </w:pPr>
      <w:r>
        <w:t xml:space="preserve">A supplier building to this design would put key responsibilities in the wrong place. The comparison is a device specification that names the wrong part for a safety-critical function.</w:t>
      </w:r>
    </w:p>
    <w:p>
      <w:pPr>
        <w:spacing w:after="140" w:line="288"/>
      </w:pPr>
      <w:r>
        <w:rPr>
          <w:b/>
          <w:bCs/>
        </w:rPr>
        <w:t xml:space="preserve">Other technical errors (F07).</w:t>
      </w:r>
      <w:r>
        <w:t xml:space="preserve"> The design names "Pivot-RP" as the component that saves users' searches, describing it as "often associated with piveau". Pivot-RP is a commercial database of research funding opportunities run by a different company. It has nothing to do with piveau. Smaller errors include describing the W3C Data Quality Vocabulary as a "Data Quality Validator", proposing a log-storage tool as a substitute for a tracing tool, and referring to an undefined workflow engine.</w:t>
      </w:r>
    </w:p>
    <w:p>
      <w:pPr>
        <w:spacing w:after="140" w:line="288"/>
      </w:pPr>
      <w:r>
        <w:rPr>
          <w:b/>
          <w:bCs/>
        </w:rPr>
        <w:t xml:space="preserve">Format checking is not legal checking (F08).</w:t>
      </w:r>
      <w:r>
        <w:t xml:space="preserve"> Section 3.6.1 says an automated validator "ensures" descriptions comply with the law. The validator, which uses a technique called SHACL, checks that the right fields are present and correctly formatted. It cannot tell whether a description is true, whether a dataset is correctly classified under the regulation, or whether a quality label is legally required. It is like a form checker that confirms a prescription has a dose and a route but cannot tell whether the dose is right.</w:t>
      </w:r>
    </w:p>
    <w:p>
      <w:pPr>
        <w:spacing w:after="140" w:line="288"/>
      </w:pPr>
      <w:r>
        <w:rPr>
          <w:b/>
          <w:bCs/>
        </w:rPr>
        <w:t xml:space="preserve">Architecture choice (F19).</w:t>
      </w:r>
      <w:r>
        <w:t xml:space="preserve"> The report chooses a design made of many small, separate services on general grounds, one of which (running cost calculations) belongs to a different system altogether. Several passages describe access applications, fees and "applicants", which are functions of the separate system that handles data access requests. A simpler design may be enough; the options should be compared before public money is committed.</w:t>
      </w:r>
    </w:p>
    <w:p>
      <w:pPr>
        <w:pStyle w:val="Heading2"/>
      </w:pPr>
      <w:r>
        <w:t xml:space="preserve">3.5 The information model is incomplete (F09, F10, F18)</w:t>
      </w:r>
    </w:p>
    <w:p>
      <w:pPr>
        <w:spacing w:after="140" w:line="288"/>
      </w:pPr>
      <w:r>
        <w:rPr>
          <w:b/>
          <w:bCs/>
        </w:rPr>
        <w:t xml:space="preserve">Meaning of the data (F09).</w:t>
      </w:r>
      <w:r>
        <w:t xml:space="preserve"> The catalogue will say </w:t>
      </w:r>
      <w:r>
        <w:rPr>
          <w:i/>
          <w:iCs/>
        </w:rPr>
        <w:t xml:space="preserve">that</w:t>
      </w:r>
      <w:r>
        <w:t xml:space="preserve"> a dataset exists, who holds it and how to apply. It will not reliably say what each field means. Two datasets may both state that they record diagnoses in SNOMED CT while using different releases, subsets or local coding rules. To a researcher they look comparable; clinically they are not, and combining them can produce misleading results. Deliverable 6.1 recognised this gap and named the standard designed to close it, but specified nothing that uses it. The field for coding systems is only "recommended" and records no edition.</w:t>
      </w:r>
    </w:p>
    <w:p>
      <w:pPr>
        <w:spacing w:after="140" w:line="288"/>
      </w:pPr>
      <w:r>
        <w:rPr>
          <w:b/>
          <w:bCs/>
        </w:rPr>
        <w:t xml:space="preserve">Identity (F10).</w:t>
      </w:r>
      <w:r>
        <w:t xml:space="preserve"> The report describes four different ways of identifying a dataset, one of which builds the holder's name and the version into the identifier (for example, IE-HSE-0012-V01). When a dataset moves to a different organisation, as it would after a health service restructure, or is simply updated, the identifier would change, and every paper that cited it would point to nothing. A dataset needs one permanent identifier, as a patient does, regardless of where they are treated or how often their notes are updated.</w:t>
      </w:r>
    </w:p>
    <w:p>
      <w:pPr>
        <w:spacing w:after="140" w:line="288"/>
      </w:pPr>
      <w:r>
        <w:rPr>
          <w:b/>
          <w:bCs/>
        </w:rPr>
        <w:t xml:space="preserve">Out of date (F18).</w:t>
      </w:r>
      <w:r>
        <w:t xml:space="preserve"> Commission Implementing Regulation (EU) 2026/2098, adopted on 18 September 2026, now fixes in law the minimum content of every dataset description. Appendix 6 of Deliverable 6.1 copied a 30-page table of fields from an unofficial European draft of December 2023, which the standard has since moved well beyond. A copied table goes out of date silently. This is not a criticism of the authors, who could not have anticipated the final text, but the model must now be checked against the law.</w:t>
      </w:r>
    </w:p>
    <w:p>
      <w:pPr>
        <w:pStyle w:val="Heading2"/>
      </w:pPr>
      <w:r>
        <w:t xml:space="preserve">3.6 Quality labels (F11)</w:t>
      </w:r>
    </w:p>
    <w:p>
      <w:pPr>
        <w:spacing w:after="140" w:line="288"/>
      </w:pPr>
      <w:r>
        <w:t xml:space="preserve">Article 78(2) of the regulation requires datasets collected and processed with public funding to carry a </w:t>
      </w:r>
      <w:r>
        <w:rPr>
          <w:b/>
          <w:bCs/>
        </w:rPr>
        <w:t xml:space="preserve">data quality and utility label</w:t>
      </w:r>
      <w:r>
        <w:t xml:space="preserve">: a standard summary of how complete, accurate and timely the data is. Deliverable 6.1 explains this correctly but does not enforce it. No requirement stops a description being published without a mandatory label, and NFR 07 allows a description to be saved without its label if the labelling service is down.</w:t>
      </w:r>
    </w:p>
    <w:p>
      <w:pPr>
        <w:spacing w:after="140" w:line="288"/>
      </w:pPr>
      <w:r>
        <w:t xml:space="preserve">The report also allows "one label per dataset", with no record of which version of the data was assessed, by whom, or when it should be reviewed. A label could stay attached long after the data had changed, like reporting an HbA1c result without the date the blood was taken. </w:t>
      </w:r>
    </w:p>
    <w:p>
      <w:pPr>
        <w:spacing w:after="140" w:line="288"/>
      </w:pPr>
      <w:r>
        <w:t xml:space="preserve">Finally, the report does not settle how a label is structured. FR 04 lists six areas, which match the six elements set out in Article 78(3) of the regulation. NFR 07 and FR 021 instead require scores on "12 dimensions", and FR 021 cites the QUANTUM assessment tool as their source. The twelve dimensions may well map onto the six areas, but the report does not say how, so a supplier would not know which structure to build.</w:t>
      </w:r>
    </w:p>
    <w:p>
      <w:pPr>
        <w:pStyle w:val="Heading2"/>
      </w:pPr>
      <w:r>
        <w:t xml:space="preserve">3.7 Governance and operating model (F12–F14)</w:t>
      </w:r>
    </w:p>
    <w:p>
      <w:pPr>
        <w:spacing w:after="140" w:line="288"/>
      </w:pPr>
      <w:r>
        <w:rPr>
          <w:b/>
          <w:bCs/>
        </w:rPr>
        <w:t xml:space="preserve">One role holds every decision (F12).</w:t>
      </w:r>
      <w:r>
        <w:t xml:space="preserve"> A single "System Admin" approves every user, reviews every description, publishes, revokes quality labels, approves deletions and rollbacks, and manages accounts. The report's own figures imagine up to 1,000 reviews pending at once. Deciding whether a clinical dataset is described accurately is a professional and regulatory judgement, not an IT task. We would not ask hospital IT to approve a clinical guideline.</w:t>
      </w:r>
    </w:p>
    <w:p>
      <w:pPr>
        <w:spacing w:after="140" w:line="288"/>
      </w:pPr>
      <w:r>
        <w:rPr>
          <w:b/>
          <w:bCs/>
        </w:rPr>
        <w:t xml:space="preserve">Manual entry only (F13).</w:t>
      </w:r>
      <w:r>
        <w:t xml:space="preserve"> The design assumes every data holder will type descriptions into a web form. Large holders such as the HSE and the National Cancer Registry already maintain catalogues and data dictionaries. Making them retype everything creates two versions of the truth that drift apart, like transcribing a medication chart by hand onto a second chart. Piveau already includes a component built to collect metadata from other systems.</w:t>
      </w:r>
    </w:p>
    <w:p>
      <w:pPr>
        <w:spacing w:after="140" w:line="288"/>
      </w:pPr>
      <w:r>
        <w:rPr>
          <w:b/>
          <w:bCs/>
        </w:rPr>
        <w:t xml:space="preserve">Missing duties (F14).</w:t>
      </w:r>
      <w:r>
        <w:t xml:space="preserve"> The regulation requires the catalogue to show which holders are designated "trusted", and to be made available to the national single information point under the Data Governance Act. Neither is mentioned. The guidance wizard tells each holder which categories of data it must describe, but records nothing, so nobody can see whether a holder has met its obligations before the 2029 and 2031 deadlines.</w:t>
      </w:r>
    </w:p>
    <w:p>
      <w:pPr>
        <w:pStyle w:val="Heading2"/>
      </w:pPr>
      <w:r>
        <w:t xml:space="preserve">3.8 Service quality, security and audit (F15–F17)</w:t>
      </w:r>
    </w:p>
    <w:p>
      <w:pPr>
        <w:spacing w:after="140" w:line="288"/>
      </w:pPr>
      <w:r>
        <w:rPr>
          <w:b/>
          <w:bCs/>
        </w:rPr>
        <w:t xml:space="preserve">Planning figures (F15).</w:t>
      </w:r>
      <w:r>
        <w:t xml:space="preserve"> The expected number of users and datasets, how long backups are kept, how quickly the service must recover and where it will be hosted are all left blank. Yet elsewhere the report specifies support for 10,000 simultaneous notifications, 1,000 users of the page footer and 100 users editing at once. These cannot all be right, and none can be tested without knowing the expected workload. The report also allows up to a day of data loss for everything, including records of approval decisions.</w:t>
      </w:r>
    </w:p>
    <w:p>
      <w:pPr>
        <w:spacing w:after="140" w:line="288"/>
      </w:pPr>
      <w:r>
        <w:rPr>
          <w:b/>
          <w:bCs/>
        </w:rPr>
        <w:t xml:space="preserve">Security and privacy (F16).</w:t>
      </w:r>
      <w:r>
        <w:t xml:space="preserve"> Apart from the login screen, there are almost no security requirements: no threat assessment, encryption of stored data, penetration testing or incident response. The two sign-in designs conflict, and codes sent by email can be intercepted. At the same time, the report would log IP addresses, devices, clicks and the full search history of every signed-in researcher, with no stated purpose or time limit; a named researcher's search history can reveal unpublished research plans. Holders are encouraged to attach sample data and documents with only file-size and virus checks.</w:t>
      </w:r>
    </w:p>
    <w:p>
      <w:pPr>
        <w:spacing w:after="140" w:line="288"/>
      </w:pPr>
      <w:r>
        <w:rPr>
          <w:b/>
          <w:bCs/>
        </w:rPr>
        <w:t xml:space="preserve">Audit evidence (F17).</w:t>
      </w:r>
      <w:r>
        <w:t xml:space="preserve"> Records of who approved what are kept in the same monitoring tools engineers use for troubleshooting, which are not designed to be tamper-proof. If a published description proves wrong, the service must be able to show exactly who approved it, when and on what evidence, as a clinical record must.</w:t>
      </w:r>
    </w:p>
    <w:p>
      <w:pPr>
        <w:pStyle w:val="Heading1"/>
        <w:pageBreakBefore/>
      </w:pPr>
      <w:r>
        <w:t xml:space="preserve">4. Drafting choices in the proposed specification</w:t>
      </w:r>
    </w:p>
    <w:p>
      <w:pPr>
        <w:spacing w:after="140" w:line="288"/>
      </w:pPr>
      <w:r>
        <w:t xml:space="preserve">This section explains the main choices made in drafting version 0.3 of the proposed specification. Each subsection says what the specification does, why, and which findings in section 3 it addresses.</w:t>
      </w:r>
    </w:p>
    <w:p>
      <w:pPr>
        <w:pStyle w:val="Heading2"/>
      </w:pPr>
      <w:r>
        <w:t xml:space="preserve">4.1 Design principles</w:t>
      </w:r>
    </w:p>
    <w:p>
      <w:pPr>
        <w:spacing w:after="140" w:line="288"/>
      </w:pPr>
      <w:r>
        <w:t xml:space="preserve">Six principles run through the specification:</w:t>
      </w:r>
    </w:p>
    <w:p>
      <w:pPr>
        <w:pStyle w:val="ListParagraph"/>
        <w:numPr>
          <w:ilvl w:val="0"/>
          <w:numId w:val="5"/>
        </w:numPr>
        <w:spacing w:after="80" w:line="276"/>
      </w:pPr>
      <w:r>
        <w:rPr>
          <w:b/>
          <w:bCs/>
        </w:rPr>
        <w:t xml:space="preserve">Public by default.</w:t>
      </w:r>
      <w:r>
        <w:t xml:space="preserve"> Anything published can be found and read by anyone, without an account.</w:t>
      </w:r>
    </w:p>
    <w:p>
      <w:pPr>
        <w:pStyle w:val="ListParagraph"/>
        <w:numPr>
          <w:ilvl w:val="0"/>
          <w:numId w:val="5"/>
        </w:numPr>
        <w:spacing w:after="80" w:line="276"/>
      </w:pPr>
      <w:r>
        <w:rPr>
          <w:b/>
          <w:bCs/>
        </w:rPr>
        <w:t xml:space="preserve">One authoritative source.</w:t>
      </w:r>
      <w:r>
        <w:t xml:space="preserve"> Each piece of information has one owner and one place where it is maintained.</w:t>
      </w:r>
    </w:p>
    <w:p>
      <w:pPr>
        <w:pStyle w:val="ListParagraph"/>
        <w:numPr>
          <w:ilvl w:val="0"/>
          <w:numId w:val="5"/>
        </w:numPr>
        <w:spacing w:after="80" w:line="276"/>
      </w:pPr>
      <w:r>
        <w:rPr>
          <w:b/>
          <w:bCs/>
        </w:rPr>
        <w:t xml:space="preserve">Reference European standards by release.</w:t>
      </w:r>
      <w:r>
        <w:t xml:space="preserve"> The metadata schema is defined in EU law and the HealthDCAT-AP standard, and is cited rather than copied.</w:t>
      </w:r>
    </w:p>
    <w:p>
      <w:pPr>
        <w:pStyle w:val="ListParagraph"/>
        <w:numPr>
          <w:ilvl w:val="0"/>
          <w:numId w:val="5"/>
        </w:numPr>
        <w:spacing w:after="80" w:line="276"/>
      </w:pPr>
      <w:r>
        <w:rPr>
          <w:b/>
          <w:bCs/>
        </w:rPr>
        <w:t xml:space="preserve">Decide first, then propagate.</w:t>
      </w:r>
      <w:r>
        <w:t xml:space="preserve"> A decision is recorded once, durably, and then carried to every other system in a way that can be safely repeated and checked.</w:t>
      </w:r>
    </w:p>
    <w:p>
      <w:pPr>
        <w:pStyle w:val="ListParagraph"/>
        <w:numPr>
          <w:ilvl w:val="0"/>
          <w:numId w:val="5"/>
        </w:numPr>
        <w:spacing w:after="80" w:line="276"/>
      </w:pPr>
      <w:r>
        <w:rPr>
          <w:b/>
          <w:bCs/>
        </w:rPr>
        <w:t xml:space="preserve">Separate deciding from operating.</w:t>
      </w:r>
      <w:r>
        <w:t xml:space="preserve"> The people who decide what is published are not the people who run the systems.</w:t>
      </w:r>
    </w:p>
    <w:p>
      <w:pPr>
        <w:pStyle w:val="ListParagraph"/>
        <w:numPr>
          <w:ilvl w:val="0"/>
          <w:numId w:val="5"/>
        </w:numPr>
        <w:spacing w:after="80" w:line="276"/>
      </w:pPr>
      <w:r>
        <w:rPr>
          <w:b/>
          <w:bCs/>
        </w:rPr>
        <w:t xml:space="preserve">Every requirement is testable.</w:t>
      </w:r>
    </w:p>
    <w:p>
      <w:pPr>
        <w:spacing w:after="140" w:line="288"/>
      </w:pPr>
      <w:r>
        <w:t xml:space="preserve">The specification keeps the purpose, scope and functional range of Deliverable 6.1: search, filtering, comparison, export, saved searches, alerts, feedback, bilingual delivery and accessibility. Appendix A shows where each of its requirements now lives.</w:t>
      </w:r>
    </w:p>
    <w:p>
      <w:pPr>
        <w:pStyle w:val="Heading2"/>
      </w:pPr>
      <w:r>
        <w:t xml:space="preserve">4.2 One testable statement per requirement</w:t>
      </w:r>
    </w:p>
    <w:p>
      <w:pPr>
        <w:spacing w:after="120" w:line="288"/>
      </w:pPr>
      <w:r>
        <w:rPr>
          <w:b/>
          <w:bCs/>
          <w:color w:val="1F4E79"/>
        </w:rPr>
        <w:t xml:space="preserve">What the specification does: </w:t>
      </w:r>
      <w:r>
        <w:t xml:space="preserve">Each requirement is a single statement with its own identifier, the source that justifies it (usually an article of the regulation), and how it will be checked: by test, inspection or review. Requirements are grouped and numbered by subject (AC for access, LC for lifecycle, and so on). Identifiers are never reused.</w:t>
      </w:r>
    </w:p>
    <w:p>
      <w:pPr>
        <w:spacing w:after="120" w:line="288"/>
      </w:pPr>
      <w:r>
        <w:rPr>
          <w:b/>
          <w:bCs/>
          <w:color w:val="1F4E79"/>
        </w:rPr>
        <w:t xml:space="preserve">Why: </w:t>
      </w:r>
      <w:r>
        <w:t xml:space="preserve">A requirement should work like an item on a surgical safety checklist: one thing, clearly stated, that is either done or not. This makes contradictions visible and lets each requirement be tested on its own.</w:t>
      </w:r>
    </w:p>
    <w:p>
      <w:pPr>
        <w:spacing w:after="120" w:line="288"/>
      </w:pPr>
      <w:r>
        <w:rPr>
          <w:b/>
          <w:bCs/>
          <w:color w:val="1F4E79"/>
        </w:rPr>
        <w:t xml:space="preserve">Addresses: </w:t>
      </w:r>
      <w:r>
        <w:t xml:space="preserve">F02, F04, F05, F20</w:t>
      </w:r>
    </w:p>
    <w:p>
      <w:pPr>
        <w:pStyle w:val="Heading2"/>
      </w:pPr>
      <w:r>
        <w:t xml:space="preserve">4.3 Open to everyone</w:t>
      </w:r>
    </w:p>
    <w:p>
      <w:pPr>
        <w:spacing w:after="120" w:line="288"/>
      </w:pPr>
      <w:r>
        <w:rPr>
          <w:b/>
          <w:bCs/>
          <w:color w:val="1F4E79"/>
        </w:rPr>
        <w:t xml:space="preserve">What the specification does: </w:t>
      </w:r>
      <w:r>
        <w:t xml:space="preserve">Searching, viewing, comparing and exporting published descriptions need no account (DS-01). Anyone can register immediately, with any email address, for personal features such as saved searches (AC-02). A single permissions table states who may do what, and governs if anything else disagrees with it.</w:t>
      </w:r>
    </w:p>
    <w:p>
      <w:pPr>
        <w:spacing w:after="120" w:line="288"/>
      </w:pPr>
      <w:r>
        <w:rPr>
          <w:b/>
          <w:bCs/>
          <w:color w:val="1F4E79"/>
        </w:rPr>
        <w:t xml:space="preserve">Why: </w:t>
      </w:r>
      <w:r>
        <w:t xml:space="preserve">The regulation requires a public catalogue. Approval of public accounts adds a queue with no safety benefit, since those accounts can only save searches.</w:t>
      </w:r>
    </w:p>
    <w:p>
      <w:pPr>
        <w:spacing w:after="120" w:line="288"/>
      </w:pPr>
      <w:r>
        <w:rPr>
          <w:b/>
          <w:bCs/>
          <w:color w:val="1F4E79"/>
        </w:rPr>
        <w:t xml:space="preserve">Addresses: </w:t>
      </w:r>
      <w:r>
        <w:t xml:space="preserve">F01</w:t>
      </w:r>
    </w:p>
    <w:p>
      <w:pPr>
        <w:pStyle w:val="Heading2"/>
      </w:pPr>
      <w:r>
        <w:t xml:space="preserve">4.4 A clear information model</w:t>
      </w:r>
    </w:p>
    <w:p>
      <w:pPr>
        <w:spacing w:after="120" w:line="288"/>
      </w:pPr>
      <w:r>
        <w:rPr>
          <w:b/>
          <w:bCs/>
          <w:color w:val="1F4E79"/>
        </w:rPr>
        <w:t xml:space="preserve">What the specification does: </w:t>
      </w:r>
      <w:r>
        <w:t xml:space="preserve">The specification separates five things: the dataset itself; the versions of its description; the releases of its data (for example, an annual extract); the forms each release is available in; and the quality labels that assess each release. Each dataset has one permanent web address that never includes the holder's name or a version number (IM-01, IM-02). The exact naming convention is left to a national identifier policy (GV-05).</w:t>
      </w:r>
    </w:p>
    <w:p>
      <w:pPr>
        <w:spacing w:after="120" w:line="288"/>
      </w:pPr>
      <w:r>
        <w:rPr>
          <w:b/>
          <w:bCs/>
          <w:color w:val="1F4E79"/>
        </w:rPr>
        <w:t xml:space="preserve">Why: </w:t>
      </w:r>
      <w:r>
        <w:t xml:space="preserve">These things change at different times. Editing a description does not change the data, and refreshing the data need not change the description. Keeping them apart means a citation always leads to the right dataset, and a quality label always refers to the data it actually assessed.</w:t>
      </w:r>
    </w:p>
    <w:p>
      <w:pPr>
        <w:spacing w:after="120" w:line="288"/>
      </w:pPr>
      <w:r>
        <w:rPr>
          <w:b/>
          <w:bCs/>
          <w:color w:val="1F4E79"/>
        </w:rPr>
        <w:t xml:space="preserve">Addresses: </w:t>
      </w:r>
      <w:r>
        <w:t xml:space="preserve">F10</w:t>
      </w:r>
    </w:p>
    <w:p>
      <w:pPr>
        <w:pStyle w:val="Heading2"/>
      </w:pPr>
      <w:r>
        <w:t xml:space="preserve">4.5 Defined stages for every description</w:t>
      </w:r>
    </w:p>
    <w:p>
      <w:pPr>
        <w:spacing w:after="120" w:line="288"/>
      </w:pPr>
      <w:r>
        <w:rPr>
          <w:b/>
          <w:bCs/>
          <w:color w:val="1F4E79"/>
        </w:rPr>
        <w:t xml:space="preserve">What the specification does: </w:t>
      </w:r>
      <w:r>
        <w:t xml:space="preserve">A description passes through defined stages: Draft, Awaiting holder approval, Under review, Returned, Approved, Published, and finally Superseded, Withdrawn, Revoked or Discarded. A table names who may move it between stages and what must be true first (LC-01, LC-02). The reviewer can send a description back with reasons, which is different from revoking a published one. Published descriptions are withdrawn, keeping their history, rather than deleted. While a correction is in progress, the public continues to see the approved version.</w:t>
      </w:r>
    </w:p>
    <w:p>
      <w:pPr>
        <w:spacing w:after="120" w:line="288"/>
      </w:pPr>
      <w:r>
        <w:rPr>
          <w:b/>
          <w:bCs/>
          <w:color w:val="1F4E79"/>
        </w:rPr>
        <w:t xml:space="preserve">Why: </w:t>
      </w:r>
      <w:r>
        <w:t xml:space="preserve">This is a care pathway for a dataset description: everyone knows what state it is in and who acts next. Once a dataset has been public someone may have cited it, so its record is kept, just as a clinical entry is struck through rather than erased.</w:t>
      </w:r>
    </w:p>
    <w:p>
      <w:pPr>
        <w:spacing w:after="120" w:line="288"/>
      </w:pPr>
      <w:r>
        <w:rPr>
          <w:b/>
          <w:bCs/>
          <w:color w:val="1F4E79"/>
        </w:rPr>
        <w:t xml:space="preserve">Addresses: </w:t>
      </w:r>
      <w:r>
        <w:t xml:space="preserve">F03</w:t>
      </w:r>
    </w:p>
    <w:p>
      <w:pPr>
        <w:pStyle w:val="Heading2"/>
      </w:pPr>
      <w:r>
        <w:t xml:space="preserve">4.6 Text and status are kept separate</w:t>
      </w:r>
    </w:p>
    <w:p>
      <w:pPr>
        <w:spacing w:after="120" w:line="288"/>
      </w:pPr>
      <w:r>
        <w:rPr>
          <w:b/>
          <w:bCs/>
          <w:color w:val="1F4E79"/>
        </w:rPr>
        <w:t xml:space="preserve">What the specification does: </w:t>
      </w:r>
      <w:r>
        <w:t xml:space="preserve">The text of a description can be edited only while it is a draft. A digital fingerprint (a content hash) is taken each time it is handed on, and once approved its text can never change; any later change creates a new version (IM-03, IM-09, IM-10). Changes of stage are recorded separately and never alter the text.</w:t>
      </w:r>
    </w:p>
    <w:p>
      <w:pPr>
        <w:spacing w:after="120" w:line="288"/>
      </w:pPr>
      <w:r>
        <w:rPr>
          <w:b/>
          <w:bCs/>
          <w:color w:val="1F4E79"/>
        </w:rPr>
        <w:t xml:space="preserve">Why: </w:t>
      </w:r>
      <w:r>
        <w:t xml:space="preserve">This proves that what was published is exactly what was approved, as a referral letter's content is separate from its "received" or "triaged" status.</w:t>
      </w:r>
    </w:p>
    <w:p>
      <w:pPr>
        <w:spacing w:after="120" w:line="288"/>
      </w:pPr>
      <w:r>
        <w:rPr>
          <w:b/>
          <w:bCs/>
          <w:color w:val="1F4E79"/>
        </w:rPr>
        <w:t xml:space="preserve">Addresses: </w:t>
      </w:r>
      <w:r>
        <w:t xml:space="preserve">F03, F17</w:t>
      </w:r>
    </w:p>
    <w:p>
      <w:pPr>
        <w:pStyle w:val="Heading2"/>
      </w:pPr>
      <w:r>
        <w:t xml:space="preserve">4.7 Four separate checks before approval</w:t>
      </w:r>
    </w:p>
    <w:p>
      <w:pPr>
        <w:spacing w:after="120" w:line="288"/>
      </w:pPr>
      <w:r>
        <w:rPr>
          <w:b/>
          <w:bCs/>
          <w:color w:val="1F4E79"/>
        </w:rPr>
        <w:t xml:space="preserve">What the specification does: </w:t>
      </w:r>
      <w:r>
        <w:t xml:space="preserve">Before a description can be approved, four checks must pass. G1: the published form of the description is correctly structured under the European standard. G2: every release on offer that needs a quality label has one in an acceptable state. G3: each such label applies to that release and is current. G4: the holder has signed off its accuracy and the text under review is exactly the text submitted. If any service needed for a check is unavailable, the check fails (LC-08). The catalogue must never describe the automated structure check as legal compliance (LC-09).</w:t>
      </w:r>
    </w:p>
    <w:p>
      <w:pPr>
        <w:spacing w:after="120" w:line="288"/>
      </w:pPr>
      <w:r>
        <w:rPr>
          <w:b/>
          <w:bCs/>
          <w:color w:val="1F4E79"/>
        </w:rPr>
        <w:t xml:space="preserve">Why: </w:t>
      </w:r>
      <w:r>
        <w:t xml:space="preserve">Each check answers a different question: is it well formed, is it legally complete, is it current, and has a responsible person signed it off. Only the first can be automated. A safety check that switches itself off when a system is busy is not a safety check.</w:t>
      </w:r>
    </w:p>
    <w:p>
      <w:pPr>
        <w:spacing w:after="120" w:line="288"/>
      </w:pPr>
      <w:r>
        <w:rPr>
          <w:b/>
          <w:bCs/>
          <w:color w:val="1F4E79"/>
        </w:rPr>
        <w:t xml:space="preserve">Addresses: </w:t>
      </w:r>
      <w:r>
        <w:t xml:space="preserve">F08, F11</w:t>
      </w:r>
    </w:p>
    <w:p>
      <w:pPr>
        <w:pStyle w:val="Heading2"/>
      </w:pPr>
      <w:r>
        <w:t xml:space="preserve">4.8 Decide first, then publish</w:t>
      </w:r>
    </w:p>
    <w:p>
      <w:pPr>
        <w:spacing w:after="120" w:line="288"/>
      </w:pPr>
      <w:r>
        <w:rPr>
          <w:b/>
          <w:bCs/>
          <w:color w:val="1F4E79"/>
        </w:rPr>
        <w:t xml:space="preserve">What the specification does: </w:t>
      </w:r>
      <w:r>
        <w:t xml:space="preserve">Approving a description records the decision and its fingerprint in the workflow system before anything else happens (PB-01). The approved text is then placed in the public catalogue system out of public view, by a step that can be safely repeated if it fails. Only when that is confirmed does a single record for the dataset, the current-version pointer, move to the new version (PB-17). The public catalogue may show only the version the pointer names (PB-07). Notifications and the update to the EU catalogue wait until then (PB-18). A regular check compares the systems and repairs any differences.</w:t>
      </w:r>
    </w:p>
    <w:p>
      <w:pPr>
        <w:spacing w:after="120" w:line="288"/>
      </w:pPr>
      <w:r>
        <w:rPr>
          <w:b/>
          <w:bCs/>
          <w:color w:val="1F4E79"/>
        </w:rPr>
        <w:t xml:space="preserve">Why: </w:t>
      </w:r>
      <w:r>
        <w:t xml:space="preserve">The catalogue uses two systems: one that records decisions and one that serves the public. If publishing happened first and recording second, a failure between them could leave the public seeing a description nobody had formally approved. Recording the decision first, then acting on it, is how clinical decisions are handled: if the letter to the GP fails, it is resent; the decision is not reversed.</w:t>
      </w:r>
    </w:p>
    <w:p>
      <w:pPr>
        <w:spacing w:after="120" w:line="288"/>
      </w:pPr>
      <w:r>
        <w:rPr>
          <w:b/>
          <w:bCs/>
          <w:color w:val="1F4E79"/>
        </w:rPr>
        <w:t xml:space="preserve">Addresses: </w:t>
      </w:r>
      <w:r>
        <w:t xml:space="preserve">F06, F17</w:t>
      </w:r>
    </w:p>
    <w:p>
      <w:pPr>
        <w:pStyle w:val="Heading2"/>
      </w:pPr>
      <w:r>
        <w:t xml:space="preserve">4.9 Quality labels for each release of the data</w:t>
      </w:r>
    </w:p>
    <w:p>
      <w:pPr>
        <w:spacing w:after="120" w:line="288"/>
      </w:pPr>
      <w:r>
        <w:rPr>
          <w:b/>
          <w:bCs/>
          <w:color w:val="1F4E79"/>
        </w:rPr>
        <w:t xml:space="preserve">What the specification does: </w:t>
      </w:r>
      <w:r>
        <w:t xml:space="preserve">Each release that needs a label has one of five label statuses: Missing, Pending (an assessment is formally registered, with a named assessor and expected date), Verified, Expired or Revoked (QL-15, QL-14). Labels record the release assessed, the assessor, the method, and a review date (QL-02). A new release starts as Missing and notifies the holder (QL-04). The check is applied to every release on offer separately (QL-10). The public catalogue shows each release's label status (QL-07). The label's internal structure follows the implementing act under Article 78(6), with any tool-based scores mapped to it.</w:t>
      </w:r>
    </w:p>
    <w:p>
      <w:pPr>
        <w:spacing w:after="120" w:line="288"/>
      </w:pPr>
      <w:r>
        <w:rPr>
          <w:b/>
          <w:bCs/>
          <w:color w:val="1F4E79"/>
        </w:rPr>
        <w:t xml:space="preserve">Why: </w:t>
      </w:r>
      <w:r>
        <w:t xml:space="preserve">A label for last year's extract says nothing about this year's. Checking every release separately stops an old label vouching for new data.</w:t>
      </w:r>
    </w:p>
    <w:p>
      <w:pPr>
        <w:spacing w:after="120" w:line="288"/>
      </w:pPr>
      <w:r>
        <w:rPr>
          <w:b/>
          <w:bCs/>
          <w:color w:val="1F4E79"/>
        </w:rPr>
        <w:t xml:space="preserve">Addresses: </w:t>
      </w:r>
      <w:r>
        <w:t xml:space="preserve">F11</w:t>
      </w:r>
    </w:p>
    <w:p>
      <w:pPr>
        <w:pStyle w:val="Heading2"/>
      </w:pPr>
      <w:r>
        <w:t xml:space="preserve">4.10 When a mandatory label must exist</w:t>
      </w:r>
    </w:p>
    <w:p>
      <w:pPr>
        <w:spacing w:after="120" w:line="288"/>
      </w:pPr>
      <w:r>
        <w:rPr>
          <w:b/>
          <w:bCs/>
          <w:color w:val="1F4E79"/>
        </w:rPr>
        <w:t xml:space="preserve">What the specification does: </w:t>
      </w:r>
      <w:r>
        <w:t xml:space="preserve">The regulation says certain datasets must have a label, but not whether the label must exist before the dataset can be listed. The specification treats this as a national policy decision (PD-01) with two options. Option A blocks listing until a verified label exists. Option B, proposed as the default, lists the dataset with its label shown as Pending, while the data itself is not released until the label is verified, within a time limit.</w:t>
      </w:r>
    </w:p>
    <w:p>
      <w:pPr>
        <w:spacing w:after="120" w:line="288"/>
      </w:pPr>
      <w:r>
        <w:rPr>
          <w:b/>
          <w:bCs/>
          <w:color w:val="1F4E79"/>
        </w:rPr>
        <w:t xml:space="preserve">Why: </w:t>
      </w:r>
      <w:r>
        <w:t xml:space="preserve">The catalogue's first purpose is to make datasets discoverable. Option A would keep a dataset out of view whenever an assessment is delayed. Option B keeps the safeguard where it matters, at the point the data is actually released. Legal advice should be taken before the choice is made.</w:t>
      </w:r>
    </w:p>
    <w:p>
      <w:pPr>
        <w:spacing w:after="120" w:line="288"/>
      </w:pPr>
      <w:r>
        <w:rPr>
          <w:b/>
          <w:bCs/>
          <w:color w:val="1F4E79"/>
        </w:rPr>
        <w:t xml:space="preserve">Addresses: </w:t>
      </w:r>
      <w:r>
        <w:t xml:space="preserve">F11</w:t>
      </w:r>
    </w:p>
    <w:p>
      <w:pPr>
        <w:pStyle w:val="Heading2"/>
      </w:pPr>
      <w:r>
        <w:t xml:space="preserve">4.11 The access system enforces the label rule</w:t>
      </w:r>
    </w:p>
    <w:p>
      <w:pPr>
        <w:spacing w:after="120" w:line="288"/>
      </w:pPr>
      <w:r>
        <w:rPr>
          <w:b/>
          <w:bCs/>
          <w:color w:val="1F4E79"/>
        </w:rPr>
        <w:t xml:space="preserve">What the specification does: </w:t>
      </w:r>
      <w:r>
        <w:t xml:space="preserve">The catalogue provides an authoritative interface giving each release's label status (DI-01). The separate system that handles access requests (DAAMS) must check that status at the moment of every release decision, refuse release where a required label is not verified, record what it checked, and do so on every route by which data can be released (DI-02 to DI-04). Option B may only be adopted if these requirements are in that system's contract.</w:t>
      </w:r>
    </w:p>
    <w:p>
      <w:pPr>
        <w:spacing w:after="120" w:line="288"/>
      </w:pPr>
      <w:r>
        <w:rPr>
          <w:b/>
          <w:bCs/>
          <w:color w:val="1F4E79"/>
        </w:rPr>
        <w:t xml:space="preserve">Why: </w:t>
      </w:r>
      <w:r>
        <w:t xml:space="preserve">The catalogue describes data; it does not release it. A flag passed from one system to another protects nothing unless the receiving system is required to act on it, just as a pharmacy checks an allergy at the point of dispensing.</w:t>
      </w:r>
    </w:p>
    <w:p>
      <w:pPr>
        <w:spacing w:after="120" w:line="288"/>
      </w:pPr>
      <w:r>
        <w:rPr>
          <w:b/>
          <w:bCs/>
          <w:color w:val="1F4E79"/>
        </w:rPr>
        <w:t xml:space="preserve">Addresses: </w:t>
      </w:r>
      <w:r>
        <w:t xml:space="preserve">F11</w:t>
      </w:r>
    </w:p>
    <w:p>
      <w:pPr>
        <w:pStyle w:val="Heading2"/>
      </w:pPr>
      <w:r>
        <w:t xml:space="preserve">4.12 Capturing what the data means</w:t>
      </w:r>
    </w:p>
    <w:p>
      <w:pPr>
        <w:spacing w:after="120" w:line="288"/>
      </w:pPr>
      <w:r>
        <w:rPr>
          <w:b/>
          <w:bCs/>
          <w:color w:val="1F4E79"/>
        </w:rPr>
        <w:t xml:space="preserve">What the specification does: </w:t>
      </w:r>
      <w:r>
        <w:t xml:space="preserve">Where a dataset uses a coding system, its description must name the system and the edition used (MD-05). Datasets that are not openly available must link to a data dictionary for each release on offer (MD-06), which may be the holder's own authoritative registry (MD-07). Whether Ireland needs a national register of data definitions is left as a policy decision (PD-04).</w:t>
      </w:r>
    </w:p>
    <w:p>
      <w:pPr>
        <w:spacing w:after="120" w:line="288"/>
      </w:pPr>
      <w:r>
        <w:rPr>
          <w:b/>
          <w:bCs/>
          <w:color w:val="1F4E79"/>
        </w:rPr>
        <w:t xml:space="preserve">Why: </w:t>
      </w:r>
      <w:r>
        <w:t xml:space="preserve">This addresses the "SNOMED CT is not one thing" problem in section 3.5 without forcing every dataset into a single national model. The aim is to make differences between datasets visible, not to remove them.</w:t>
      </w:r>
    </w:p>
    <w:p>
      <w:pPr>
        <w:spacing w:after="120" w:line="288"/>
      </w:pPr>
      <w:r>
        <w:rPr>
          <w:b/>
          <w:bCs/>
          <w:color w:val="1F4E79"/>
        </w:rPr>
        <w:t xml:space="preserve">Addresses: </w:t>
      </w:r>
      <w:r>
        <w:t xml:space="preserve">F09</w:t>
      </w:r>
    </w:p>
    <w:p>
      <w:pPr>
        <w:pStyle w:val="Heading2"/>
      </w:pPr>
      <w:r>
        <w:t xml:space="preserve">4.13 Two ways to supply descriptions</w:t>
      </w:r>
    </w:p>
    <w:p>
      <w:pPr>
        <w:spacing w:after="120" w:line="288"/>
      </w:pPr>
      <w:r>
        <w:rPr>
          <w:b/>
          <w:bCs/>
          <w:color w:val="1F4E79"/>
        </w:rPr>
        <w:t xml:space="preserve">What the specification does: </w:t>
      </w:r>
      <w:r>
        <w:t xml:space="preserve">Holders can use a guided web form or have descriptions collected automatically from their own catalogues (CT-01). Both routes go through the same stages and checks (CT-02). For each dataset one route is authoritative; where it is the holder's own system, corrections are made there, not by editing the copy (CT-03).</w:t>
      </w:r>
    </w:p>
    <w:p>
      <w:pPr>
        <w:spacing w:after="120" w:line="288"/>
      </w:pPr>
      <w:r>
        <w:rPr>
          <w:b/>
          <w:bCs/>
          <w:color w:val="1F4E79"/>
        </w:rPr>
        <w:t xml:space="preserve">Why: </w:t>
      </w:r>
      <w:r>
        <w:t xml:space="preserve">This respects the principle of one authoritative source and saves large holders from retyping what they already maintain well.</w:t>
      </w:r>
    </w:p>
    <w:p>
      <w:pPr>
        <w:spacing w:after="120" w:line="288"/>
      </w:pPr>
      <w:r>
        <w:rPr>
          <w:b/>
          <w:bCs/>
          <w:color w:val="1F4E79"/>
        </w:rPr>
        <w:t xml:space="preserve">Addresses: </w:t>
      </w:r>
      <w:r>
        <w:t xml:space="preserve">F13</w:t>
      </w:r>
    </w:p>
    <w:p>
      <w:pPr>
        <w:pStyle w:val="Heading2"/>
      </w:pPr>
      <w:r>
        <w:t xml:space="preserve">4.14 Separating deciding from operating</w:t>
      </w:r>
    </w:p>
    <w:p>
      <w:pPr>
        <w:spacing w:after="120" w:line="288"/>
      </w:pPr>
      <w:r>
        <w:rPr>
          <w:b/>
          <w:bCs/>
          <w:color w:val="1F4E79"/>
        </w:rPr>
        <w:t xml:space="preserve">What the specification does: </w:t>
      </w:r>
      <w:r>
        <w:t xml:space="preserve">The "System Admin" role is replaced by a </w:t>
      </w:r>
      <w:r>
        <w:rPr>
          <w:b/>
          <w:bCs/>
        </w:rPr>
        <w:t xml:space="preserve">Publication authority</w:t>
      </w:r>
      <w:r>
        <w:t xml:space="preserve">, which decides content, and a </w:t>
      </w:r>
      <w:r>
        <w:rPr>
          <w:b/>
          <w:bCs/>
        </w:rPr>
        <w:t xml:space="preserve">Service operator</w:t>
      </w:r>
      <w:r>
        <w:t xml:space="preserve">, which runs the systems. No person may hold both, through any combination of accounts (AC-06). Every elevated account belongs to one named person (AC-08). Technical staff's direct access to databases and servers is limited, time-bound and recorded where they cannot alter it (AC-09). Any change made outside the normal application needs prior authorisation, except in a security emergency, and is reviewed afterwards by someone else (AC-11, AC-12). A governance table assigns every responsibility, including a single named service owner (GV-01).</w:t>
      </w:r>
    </w:p>
    <w:p>
      <w:pPr>
        <w:spacing w:after="120" w:line="288"/>
      </w:pPr>
      <w:r>
        <w:rPr>
          <w:b/>
          <w:bCs/>
          <w:color w:val="1F4E79"/>
        </w:rPr>
        <w:t xml:space="preserve">Why: </w:t>
      </w:r>
      <w:r>
        <w:t xml:space="preserve">Rules that apply only within the application can be bypassed by anyone with direct database access. These controls work like controlled-drug procedures: named individuals, a second person for exceptions, and a register no one can quietly alter.</w:t>
      </w:r>
    </w:p>
    <w:p>
      <w:pPr>
        <w:spacing w:after="120" w:line="288"/>
      </w:pPr>
      <w:r>
        <w:rPr>
          <w:b/>
          <w:bCs/>
          <w:color w:val="1F4E79"/>
        </w:rPr>
        <w:t xml:space="preserve">Addresses: </w:t>
      </w:r>
      <w:r>
        <w:t xml:space="preserve">F12</w:t>
      </w:r>
    </w:p>
    <w:p>
      <w:pPr>
        <w:pStyle w:val="Heading2"/>
      </w:pPr>
      <w:r>
        <w:t xml:space="preserve">4.15 Correct software responsibilities</w:t>
      </w:r>
    </w:p>
    <w:p>
      <w:pPr>
        <w:spacing w:after="120" w:line="288"/>
      </w:pPr>
      <w:r>
        <w:rPr>
          <w:b/>
          <w:bCs/>
          <w:color w:val="1F4E79"/>
        </w:rPr>
        <w:t xml:space="preserve">What the specification does: </w:t>
      </w:r>
      <w:r>
        <w:t xml:space="preserve">piveau Hub stores and serves published metadata; piveau Consus collects metadata from holders' systems and holds no publication decisions; the workflow system holds stages, checks, labels and obligations (AR-01 to AR-03). Every product capability relied on must be confirmed against the supplier's current documentation, and the publishing, withdrawal and repair paths must be demonstrated on a working prototype, including deliberate failure tests, before a contract is awarded (AR-04, AR-07). An options appraisal must compare a simple piveau deployment with a design of many separate services (AR-06).</w:t>
      </w:r>
    </w:p>
    <w:p>
      <w:pPr>
        <w:spacing w:after="120" w:line="288"/>
      </w:pPr>
      <w:r>
        <w:rPr>
          <w:b/>
          <w:bCs/>
          <w:color w:val="1F4E79"/>
        </w:rPr>
        <w:t xml:space="preserve">Why: </w:t>
      </w:r>
      <w:r>
        <w:t xml:space="preserve">These responsibilities match the supplier's documentation. Proving the riskiest parts on a prototype before contract award is cheaper than discovering problems during build.</w:t>
      </w:r>
    </w:p>
    <w:p>
      <w:pPr>
        <w:spacing w:after="120" w:line="288"/>
      </w:pPr>
      <w:r>
        <w:rPr>
          <w:b/>
          <w:bCs/>
          <w:color w:val="1F4E79"/>
        </w:rPr>
        <w:t xml:space="preserve">Addresses: </w:t>
      </w:r>
      <w:r>
        <w:t xml:space="preserve">F06, F07, F19</w:t>
      </w:r>
    </w:p>
    <w:p>
      <w:pPr>
        <w:pStyle w:val="Heading2"/>
      </w:pPr>
      <w:r>
        <w:t xml:space="preserve">4.16 Europe and the single information point</w:t>
      </w:r>
    </w:p>
    <w:p>
      <w:pPr>
        <w:spacing w:after="120" w:line="288"/>
      </w:pPr>
      <w:r>
        <w:rPr>
          <w:b/>
          <w:bCs/>
          <w:color w:val="1F4E79"/>
        </w:rPr>
        <w:t xml:space="preserve">What the specification does: </w:t>
      </w:r>
      <w:r>
        <w:t xml:space="preserve">Publication, withdrawal and revocation are sent to the EU catalogue through the national contact point (PB-02), and the catalogue is made available to the national single information point (PB-04). Each version has a recorded status in Europe (PB-13). Failures are retried, escalated to the Publication authority after a set time, and require a recorded decision (PB-15). Withdrawals and revocations go first and are escalated sooner (PB-16). The service must be able to prove that the version accepted in Europe is the one approved in Ireland (PB-14).</w:t>
      </w:r>
    </w:p>
    <w:p>
      <w:pPr>
        <w:spacing w:after="120" w:line="288"/>
      </w:pPr>
      <w:r>
        <w:rPr>
          <w:b/>
          <w:bCs/>
          <w:color w:val="1F4E79"/>
        </w:rPr>
        <w:t xml:space="preserve">Why: </w:t>
      </w:r>
      <w:r>
        <w:t xml:space="preserve">A report of differences that nobody must act on could leave the European catalogue showing a dataset Ireland withdrew weeks ago.</w:t>
      </w:r>
    </w:p>
    <w:p>
      <w:pPr>
        <w:spacing w:after="120" w:line="288"/>
      </w:pPr>
      <w:r>
        <w:rPr>
          <w:b/>
          <w:bCs/>
          <w:color w:val="1F4E79"/>
        </w:rPr>
        <w:t xml:space="preserve">Addresses: </w:t>
      </w:r>
      <w:r>
        <w:t xml:space="preserve">F14</w:t>
      </w:r>
    </w:p>
    <w:p>
      <w:pPr>
        <w:pStyle w:val="Heading2"/>
      </w:pPr>
      <w:r>
        <w:t xml:space="preserve">4.17 Obligations and trusted holders</w:t>
      </w:r>
    </w:p>
    <w:p>
      <w:pPr>
        <w:spacing w:after="120" w:line="288"/>
      </w:pPr>
      <w:r>
        <w:rPr>
          <w:b/>
          <w:bCs/>
          <w:color w:val="1F4E79"/>
        </w:rPr>
        <w:t xml:space="preserve">What the specification does: </w:t>
      </w:r>
      <w:r>
        <w:t xml:space="preserve">The catalogue keeps a register of the categories of data each holder must describe and by when, linked to the datasets that meet each obligation (IM-06, IM-07). Datasets from designated trusted holders are marked as such (MD-13).</w:t>
      </w:r>
    </w:p>
    <w:p>
      <w:pPr>
        <w:spacing w:after="120" w:line="288"/>
      </w:pPr>
      <w:r>
        <w:rPr>
          <w:b/>
          <w:bCs/>
          <w:color w:val="1F4E79"/>
        </w:rPr>
        <w:t xml:space="preserve">Why: </w:t>
      </w:r>
      <w:r>
        <w:t xml:space="preserve">The law sets deadlines for whole categories of data. A register shows what is still missing, like a registry's case-ascertainment check, not only what has been entered.</w:t>
      </w:r>
    </w:p>
    <w:p>
      <w:pPr>
        <w:spacing w:after="120" w:line="288"/>
      </w:pPr>
      <w:r>
        <w:rPr>
          <w:b/>
          <w:bCs/>
          <w:color w:val="1F4E79"/>
        </w:rPr>
        <w:t xml:space="preserve">Addresses: </w:t>
      </w:r>
      <w:r>
        <w:t xml:space="preserve">F14</w:t>
      </w:r>
    </w:p>
    <w:p>
      <w:pPr>
        <w:pStyle w:val="Heading2"/>
      </w:pPr>
      <w:r>
        <w:t xml:space="preserve">4.18 Service quality, security and privacy</w:t>
      </w:r>
    </w:p>
    <w:p>
      <w:pPr>
        <w:spacing w:after="120" w:line="288"/>
      </w:pPr>
      <w:r>
        <w:rPr>
          <w:b/>
          <w:bCs/>
          <w:color w:val="1F4E79"/>
        </w:rPr>
        <w:t xml:space="preserve">What the specification does: </w:t>
      </w:r>
      <w:r>
        <w:t xml:space="preserve">All capacity and speed targets derive from a small set of planning figures set once (NF-01). Recovery targets differ by kind of information: none of the approval records may be lost, while the public listing can be rebuilt (NF-05). New sections cover threat modelling, encryption, penetration testing, incident response and a data protection impact assessment (SE-01 to SE-05). Logs record only what each stated purpose needs, and never the search terms of identifiable users (SE-06, SE-08). Sample data must be synthetic or fully anonymised and attachments are reviewed before publication (MD-10, MD-11). Information required by the European standard cannot be withheld, and the version actually published is the one checked (MD-14, MD-18). The public sees every version ever published, but not unpublished drafts, staff names or reviewers' comments (DS-11).</w:t>
      </w:r>
    </w:p>
    <w:p>
      <w:pPr>
        <w:spacing w:after="120" w:line="288"/>
      </w:pPr>
      <w:r>
        <w:rPr>
          <w:b/>
          <w:bCs/>
          <w:color w:val="1F4E79"/>
        </w:rPr>
        <w:t xml:space="preserve">Why: </w:t>
      </w:r>
      <w:r>
        <w:t xml:space="preserve">Planning a service without workload figures is like planning a clinic without an estimate of referrals. Different information needs different protection, as a patient's allergy record and an appointment reminder do. Data protection law requires collecting only what is needed.</w:t>
      </w:r>
    </w:p>
    <w:p>
      <w:pPr>
        <w:spacing w:after="120" w:line="288"/>
      </w:pPr>
      <w:r>
        <w:rPr>
          <w:b/>
          <w:bCs/>
          <w:color w:val="1F4E79"/>
        </w:rPr>
        <w:t xml:space="preserve">Addresses: </w:t>
      </w:r>
      <w:r>
        <w:t xml:space="preserve">F15, F16</w:t>
      </w:r>
    </w:p>
    <w:p>
      <w:pPr>
        <w:pStyle w:val="Heading2"/>
      </w:pPr>
      <w:r>
        <w:t xml:space="preserve">4.19 Records of decisions kept as evidence</w:t>
      </w:r>
    </w:p>
    <w:p>
      <w:pPr>
        <w:spacing w:after="120" w:line="288"/>
      </w:pPr>
      <w:r>
        <w:rPr>
          <w:b/>
          <w:bCs/>
          <w:color w:val="1F4E79"/>
        </w:rPr>
        <w:t xml:space="preserve">What the specification does: </w:t>
      </w:r>
      <w:r>
        <w:t xml:space="preserve">Every change of stage, label decision, withholding decision, change of role and privileged technical action creates an audit record (AU-01) of who, in what role, when, on what, and why (AU-05). Records cannot be altered or deleted without detection (AU-02), and are stored where technical staff cannot change them (AU-06). Screen design details such as button wording move out of the specification into design guidance.</w:t>
      </w:r>
    </w:p>
    <w:p>
      <w:pPr>
        <w:spacing w:after="120" w:line="288"/>
      </w:pPr>
      <w:r>
        <w:rPr>
          <w:b/>
          <w:bCs/>
          <w:color w:val="1F4E79"/>
        </w:rPr>
        <w:t xml:space="preserve">Why: </w:t>
      </w:r>
      <w:r>
        <w:t xml:space="preserve">If a published description proves wrong, the service must be able to show who approved it and on what evidence, as a clinical record must.</w:t>
      </w:r>
    </w:p>
    <w:p>
      <w:pPr>
        <w:spacing w:after="120" w:line="288"/>
      </w:pPr>
      <w:r>
        <w:rPr>
          <w:b/>
          <w:bCs/>
          <w:color w:val="1F4E79"/>
        </w:rPr>
        <w:t xml:space="preserve">Addresses: </w:t>
      </w:r>
      <w:r>
        <w:t xml:space="preserve">F05, F17</w:t>
      </w:r>
    </w:p>
    <w:p>
      <w:pPr>
        <w:pStyle w:val="Heading2"/>
      </w:pPr>
      <w:r>
        <w:t xml:space="preserve">4.20 What the specification leaves for decision</w:t>
      </w:r>
    </w:p>
    <w:p>
      <w:pPr>
        <w:spacing w:after="140" w:line="288"/>
      </w:pPr>
      <w:r>
        <w:t xml:space="preserve">Some choices belong to the bodies that will own and run the service. The specification sets these out rather than guessing.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69"/>
        <w:gridCol w:w="4369"/>
      </w:tblGrid>
      <w:tr>
        <w:trPr>
          <w:cantSplit/>
          <w:tblHeader/>
        </w:trPr>
        <w:tc>
          <w:tcPr>
            <w:tcW w:type="dxa" w:w="900"/>
            <w:tcBorders>
              <w:top w:val="single" w:color="BFBFBF" w:sz="4"/>
              <w:left w:val="single" w:color="BFBFBF" w:sz="4"/>
              <w:bottom w:val="single" w:color="BFBFBF" w:sz="4"/>
              <w:right w:val="single" w:color="BFBFBF" w:sz="4"/>
            </w:tcBorders>
            <w:shd w:fill="DCE6F0" w:color="auto" w:val="clear"/>
            <w:tcMar>
              <w:top w:type="dxa" w:w="70"/>
              <w:left w:type="dxa" w:w="110"/>
              <w:bottom w:type="dxa" w:w="70"/>
              <w:right w:type="dxa" w:w="110"/>
            </w:tcMar>
          </w:tcPr>
          <w:p>
            <w:pPr>
              <w:spacing w:after="40" w:line="264"/>
            </w:pPr>
            <w:r>
              <w:rPr>
                <w:b/>
                <w:bCs/>
                <w:sz w:val="19"/>
                <w:szCs w:val="19"/>
              </w:rPr>
              <w:t xml:space="preserve">Ref</w:t>
            </w:r>
          </w:p>
        </w:tc>
        <w:tc>
          <w:tcPr>
            <w:tcW w:type="dxa" w:w="4369"/>
            <w:tcBorders>
              <w:top w:val="single" w:color="BFBFBF" w:sz="4"/>
              <w:left w:val="single" w:color="BFBFBF" w:sz="4"/>
              <w:bottom w:val="single" w:color="BFBFBF" w:sz="4"/>
              <w:right w:val="single" w:color="BFBFBF" w:sz="4"/>
            </w:tcBorders>
            <w:shd w:fill="DCE6F0" w:color="auto" w:val="clear"/>
            <w:tcMar>
              <w:top w:type="dxa" w:w="70"/>
              <w:left w:type="dxa" w:w="110"/>
              <w:bottom w:type="dxa" w:w="70"/>
              <w:right w:type="dxa" w:w="110"/>
            </w:tcMar>
          </w:tcPr>
          <w:p>
            <w:pPr>
              <w:spacing w:after="40" w:line="264"/>
            </w:pPr>
            <w:r>
              <w:rPr>
                <w:b/>
                <w:bCs/>
                <w:sz w:val="19"/>
                <w:szCs w:val="19"/>
              </w:rPr>
              <w:t xml:space="preserve">Decision</w:t>
            </w:r>
          </w:p>
        </w:tc>
        <w:tc>
          <w:tcPr>
            <w:tcW w:type="dxa" w:w="4369"/>
            <w:tcBorders>
              <w:top w:val="single" w:color="BFBFBF" w:sz="4"/>
              <w:left w:val="single" w:color="BFBFBF" w:sz="4"/>
              <w:bottom w:val="single" w:color="BFBFBF" w:sz="4"/>
              <w:right w:val="single" w:color="BFBFBF" w:sz="4"/>
            </w:tcBorders>
            <w:shd w:fill="DCE6F0" w:color="auto" w:val="clear"/>
            <w:tcMar>
              <w:top w:type="dxa" w:w="70"/>
              <w:left w:type="dxa" w:w="110"/>
              <w:bottom w:type="dxa" w:w="70"/>
              <w:right w:type="dxa" w:w="110"/>
            </w:tcMar>
          </w:tcPr>
          <w:p>
            <w:pPr>
              <w:spacing w:after="40" w:line="264"/>
            </w:pPr>
            <w:r>
              <w:rPr>
                <w:b/>
                <w:bCs/>
                <w:sz w:val="19"/>
                <w:szCs w:val="19"/>
              </w:rPr>
              <w:t xml:space="preserve">Proposed approach</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PD-01</w:t>
            </w:r>
          </w:p>
        </w:tc>
        <w:tc>
          <w:tcPr>
            <w:tcW w:type="dxa" w:w="436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Whether a dataset that legally needs a quality label may be listed before its label is complete</w:t>
            </w:r>
          </w:p>
        </w:tc>
        <w:tc>
          <w:tcPr>
            <w:tcW w:type="dxa" w:w="436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Option B: list with label Pending; withhold data release until verified; time limit (see 4.10). Legal advice required</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PD-02</w:t>
            </w:r>
          </w:p>
        </w:tc>
        <w:tc>
          <w:tcPr>
            <w:tcW w:type="dxa" w:w="436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Which body holds publication authority</w:t>
            </w:r>
          </w:p>
        </w:tc>
        <w:tc>
          <w:tcPr>
            <w:tcW w:type="dxa" w:w="436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health data access body; its relationship to HIQA, the HSE and the HRB to be settled</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PD-03</w:t>
            </w:r>
          </w:p>
        </w:tc>
        <w:tc>
          <w:tcPr>
            <w:tcW w:type="dxa" w:w="436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internal structure of the quality label</w:t>
            </w:r>
          </w:p>
        </w:tc>
        <w:tc>
          <w:tcPr>
            <w:tcW w:type="dxa" w:w="436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As set by the Article 78(6) implementing act, with QUANTUM scores mapped to it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PD-04</w:t>
            </w:r>
          </w:p>
        </w:tc>
        <w:tc>
          <w:tcPr>
            <w:tcW w:type="dxa" w:w="436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Whether to establish a national register of data definitions</w:t>
            </w:r>
          </w:p>
        </w:tc>
        <w:tc>
          <w:tcPr>
            <w:tcW w:type="dxa" w:w="436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Open; the catalogue links to holders' data dictionaries meanwhile</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PD-05</w:t>
            </w:r>
          </w:p>
        </w:tc>
        <w:tc>
          <w:tcPr>
            <w:tcW w:type="dxa" w:w="436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Who sets each planning parameter</w:t>
            </w:r>
          </w:p>
        </w:tc>
        <w:tc>
          <w:tcPr>
            <w:tcW w:type="dxa" w:w="436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Each parameter in the specification names who decides it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GV-01</w:t>
            </w:r>
          </w:p>
        </w:tc>
        <w:tc>
          <w:tcPr>
            <w:tcW w:type="dxa" w:w="436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Who is the single service owner</w:t>
            </w:r>
          </w:p>
        </w:tc>
        <w:tc>
          <w:tcPr>
            <w:tcW w:type="dxa" w:w="436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To be named before procurement</w:t>
            </w:r>
          </w:p>
        </w:tc>
      </w:tr>
    </w:tbl>
    <w:p>
      <w:pPr>
        <w:spacing w:after="200" w:before="60"/>
      </w:pPr>
      <w:r>
        <w:rPr>
          <w:i/>
          <w:iCs/>
          <w:color w:val="595959"/>
          <w:sz w:val="19"/>
          <w:szCs w:val="19"/>
        </w:rPr>
        <w:t xml:space="preserve">Table 3. Decisions for the owning bodies</w:t>
      </w:r>
    </w:p>
    <w:p>
      <w:pPr>
        <w:spacing w:after="140" w:line="288"/>
      </w:pPr>
      <w:r>
        <w:t xml:space="preserve">The specification also lists 23 parameters, such as the expected number of users, response times and recovery targets. Each is classed as capacity, service level, governance, architecture or configuration, and names who should decide it. Where a value is suggested, it is a starting point for discussion, not a finding. Capacity, service-level and governance parameters must be settled before the specification is used as an implementation baseline.</w:t>
      </w:r>
    </w:p>
    <w:p>
      <w:pPr>
        <w:pStyle w:val="Heading1"/>
        <w:pageBreakBefore/>
      </w:pPr>
      <w:r>
        <w:t xml:space="preserve">5. Why the specification uses ReSpec</w:t>
      </w:r>
    </w:p>
    <w:p>
      <w:pPr>
        <w:spacing w:after="140" w:line="288"/>
      </w:pPr>
      <w:r>
        <w:t xml:space="preserve">ReSpec is a free tool used by the World Wide Web Consortium (W3C) and many other standards bodies to write technical specifications. The author writes an ordinary web page with some simple markings. When the page is opened in a browser, ReSpec turns it into a formatted specification: it numbers the sections, builds the table of contents, links each reference to its source, and lays out notes, open issues and requirements in consistent boxes.</w:t>
      </w:r>
    </w:p>
    <w:p>
      <w:pPr>
        <w:spacing w:after="140" w:line="288"/>
      </w:pPr>
      <w:r>
        <w:t xml:space="preserve">It was chosen over a Word document for five reasons:</w:t>
      </w:r>
    </w:p>
    <w:p>
      <w:pPr>
        <w:pStyle w:val="ListParagraph"/>
        <w:numPr>
          <w:ilvl w:val="0"/>
          <w:numId w:val="6"/>
        </w:numPr>
        <w:spacing w:after="80" w:line="276"/>
      </w:pPr>
      <w:r>
        <w:rPr>
          <w:b/>
          <w:bCs/>
        </w:rPr>
        <w:t xml:space="preserve">It matches the European standards the catalogue depends on.</w:t>
      </w:r>
      <w:r>
        <w:t xml:space="preserve"> HealthDCAT-AP and its parent standards are published in this style. A national specification written the same way sits naturally alongside them, and implementers across Europe will recognise its conventions.</w:t>
      </w:r>
    </w:p>
    <w:p>
      <w:pPr>
        <w:pStyle w:val="ListParagraph"/>
        <w:numPr>
          <w:ilvl w:val="0"/>
          <w:numId w:val="6"/>
        </w:numPr>
        <w:spacing w:after="80" w:line="276"/>
      </w:pPr>
      <w:r>
        <w:rPr>
          <w:b/>
          <w:bCs/>
        </w:rPr>
        <w:t xml:space="preserve">Every requirement has a permanent link.</w:t>
      </w:r>
      <w:r>
        <w:t xml:space="preserve"> Each requirement, such as LC-04, has its own web address. A test plan, a supplier's response or a meeting minute can point straight to it, and the link still works in later editions. In a Word document, a reference to "page 34" breaks as soon as the text moves.</w:t>
      </w:r>
    </w:p>
    <w:p>
      <w:pPr>
        <w:pStyle w:val="ListParagraph"/>
        <w:numPr>
          <w:ilvl w:val="0"/>
          <w:numId w:val="6"/>
        </w:numPr>
        <w:spacing w:after="80" w:line="276"/>
      </w:pPr>
      <w:r>
        <w:rPr>
          <w:b/>
          <w:bCs/>
        </w:rPr>
        <w:t xml:space="preserve">It separates firm rules from open questions.</w:t>
      </w:r>
      <w:r>
        <w:t xml:space="preserve"> Requirements, policy decisions, open issues and notes each have their own clearly marked box, so it is obvious what a supplier must do and what is still undecided.</w:t>
      </w:r>
    </w:p>
    <w:p>
      <w:pPr>
        <w:pStyle w:val="ListParagraph"/>
        <w:numPr>
          <w:ilvl w:val="0"/>
          <w:numId w:val="6"/>
        </w:numPr>
        <w:spacing w:after="80" w:line="276"/>
      </w:pPr>
      <w:r>
        <w:rPr>
          <w:b/>
          <w:bCs/>
        </w:rPr>
        <w:t xml:space="preserve">It is easier to keep accurate.</w:t>
      </w:r>
      <w:r>
        <w:t xml:space="preserve"> References to the regulation and other standards are listed once and linked automatically. The source is plain text that can be stored with a full history of every change, which is the document control Deliverable 6.1 lacked.</w:t>
      </w:r>
    </w:p>
    <w:p>
      <w:pPr>
        <w:pStyle w:val="ListParagraph"/>
        <w:numPr>
          <w:ilvl w:val="0"/>
          <w:numId w:val="6"/>
        </w:numPr>
        <w:spacing w:after="80" w:line="276"/>
      </w:pPr>
      <w:r>
        <w:rPr>
          <w:b/>
          <w:bCs/>
        </w:rPr>
        <w:t xml:space="preserve">It can be read by people and processed by software.</w:t>
      </w:r>
      <w:r>
        <w:t xml:space="preserve"> Because each requirement is a separate, marked item, requirements can be pulled into a test plan or tracking system without retyping.</w:t>
      </w:r>
    </w:p>
    <w:p>
      <w:pPr>
        <w:spacing w:after="140" w:line="288"/>
      </w:pPr>
      <w:r>
        <w:t xml:space="preserve">There are two drawbacks. ReSpec needs an internet connection the first time the page is opened, to format it. And some readers are more comfortable with Word. A formatted ReSpec page can be saved as a self-contained web page or printed to PDF for anyone who prefers a fixed copy. This report is supplied in Word because it is a discussion document rather than a specification.</w:t>
      </w:r>
    </w:p>
    <w:p>
      <w:pPr>
        <w:pStyle w:val="Heading2"/>
      </w:pPr>
      <w:r>
        <w:t xml:space="preserve">5.1 How to read the specification</w:t>
      </w:r>
    </w:p>
    <w:p>
      <w:pPr>
        <w:spacing w:after="140" w:line="288"/>
      </w:pPr>
      <w:r>
        <w:t xml:space="preserve">Open nhdsc-specification-v0-3.html in an up-to-date browser (Chrome, Edge, Firefox or Safari) on a computer connected to the internet. After a few seconds it reformats itself, with numbered sections, a table of contents and diagrams. A desktop or laptop works best, as some tables are wide. The boxes mean: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blHeader/>
        </w:trPr>
        <w:tc>
          <w:tcPr>
            <w:tcW w:type="dxa" w:w="2900"/>
            <w:tcBorders>
              <w:top w:val="single" w:color="BFBFBF" w:sz="4"/>
              <w:left w:val="single" w:color="BFBFBF" w:sz="4"/>
              <w:bottom w:val="single" w:color="BFBFBF" w:sz="4"/>
              <w:right w:val="single" w:color="BFBFBF" w:sz="4"/>
            </w:tcBorders>
            <w:shd w:fill="DCE6F0" w:color="auto" w:val="clear"/>
            <w:tcMar>
              <w:top w:type="dxa" w:w="70"/>
              <w:left w:type="dxa" w:w="110"/>
              <w:bottom w:type="dxa" w:w="70"/>
              <w:right w:type="dxa" w:w="110"/>
            </w:tcMar>
          </w:tcPr>
          <w:p>
            <w:pPr>
              <w:spacing w:after="40" w:line="264"/>
            </w:pPr>
            <w:r>
              <w:rPr>
                <w:b/>
                <w:bCs/>
                <w:sz w:val="19"/>
                <w:szCs w:val="19"/>
              </w:rPr>
              <w:t xml:space="preserve">Box</w:t>
            </w:r>
          </w:p>
        </w:tc>
        <w:tc>
          <w:tcPr>
            <w:tcW w:type="dxa" w:w="6738"/>
            <w:tcBorders>
              <w:top w:val="single" w:color="BFBFBF" w:sz="4"/>
              <w:left w:val="single" w:color="BFBFBF" w:sz="4"/>
              <w:bottom w:val="single" w:color="BFBFBF" w:sz="4"/>
              <w:right w:val="single" w:color="BFBFBF" w:sz="4"/>
            </w:tcBorders>
            <w:shd w:fill="DCE6F0" w:color="auto" w:val="clear"/>
            <w:tcMar>
              <w:top w:type="dxa" w:w="70"/>
              <w:left w:type="dxa" w:w="110"/>
              <w:bottom w:type="dxa" w:w="70"/>
              <w:right w:type="dxa" w:w="110"/>
            </w:tcMar>
          </w:tcPr>
          <w:p>
            <w:pPr>
              <w:spacing w:after="40" w:line="264"/>
            </w:pPr>
            <w:r>
              <w:rPr>
                <w:b/>
                <w:bCs/>
                <w:sz w:val="19"/>
                <w:szCs w:val="19"/>
              </w:rPr>
              <w:t xml:space="preserve">Contents</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Blue, with an ID such as AC-02</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 requirement: one thing the system must do, with its source and how it will be checked</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Amber, headed "Policy decision"</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 choice for the owning bodies, with the options and a proposed default</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Headed "Issue"</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An open question the specification cannot settle by itself</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Headed "Note"</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Background or explanation; not a requirement</w:t>
            </w:r>
          </w:p>
        </w:tc>
      </w:tr>
    </w:tbl>
    <w:p>
      <w:pPr>
        <w:spacing w:after="200" w:before="60"/>
      </w:pPr>
      <w:r>
        <w:rPr>
          <w:i/>
          <w:iCs/>
          <w:color w:val="595959"/>
          <w:sz w:val="19"/>
          <w:szCs w:val="19"/>
        </w:rPr>
        <w:t xml:space="preserve">Table 4. Reading the specification</w:t>
      </w:r>
    </w:p>
    <w:p>
      <w:pPr>
        <w:spacing w:after="140" w:line="288"/>
      </w:pPr>
      <w:r>
        <w:t xml:space="preserve">For a short route through it: read the design principles in section 2; the record stages diagram in the "Record lifecycle" section; the permissions table in "Accounts, roles and authority"; and the policy decisions and parameters in the appendices. When commenting, quote the requirement identifier so that everyone is looking at the same sentence.</w:t>
      </w:r>
    </w:p>
    <w:p>
      <w:pPr>
        <w:pStyle w:val="Heading1"/>
        <w:pageBreakBefore/>
      </w:pPr>
      <w:r>
        <w:t xml:space="preserve">6. Limitations and next steps</w:t>
      </w:r>
    </w:p>
    <w:p>
      <w:pPr>
        <w:pStyle w:val="ListParagraph"/>
        <w:numPr>
          <w:ilvl w:val="0"/>
          <w:numId w:val="2"/>
        </w:numPr>
        <w:spacing w:after="80" w:line="276"/>
      </w:pPr>
      <w:r>
        <w:rPr>
          <w:b/>
          <w:bCs/>
        </w:rPr>
        <w:t xml:space="preserve">It is a design, not a working system.</w:t>
      </w:r>
      <w:r>
        <w:t xml:space="preserve"> The specification has been checked for internal consistency, but none of its controls has been built or tested. Requirements VT-01 to VT-05 in the specification set out the tests needed, including deliberate failure tests and tests of what the public actually sees.</w:t>
      </w:r>
    </w:p>
    <w:p>
      <w:pPr>
        <w:pStyle w:val="ListParagraph"/>
        <w:numPr>
          <w:ilvl w:val="0"/>
          <w:numId w:val="2"/>
        </w:numPr>
        <w:spacing w:after="80" w:line="276"/>
      </w:pPr>
      <w:r>
        <w:rPr>
          <w:b/>
          <w:bCs/>
        </w:rPr>
        <w:t xml:space="preserve">Legal advice is needed</w:t>
      </w:r>
      <w:r>
        <w:t xml:space="preserve"> on policy decision PD-01 before a choice is made.</w:t>
      </w:r>
    </w:p>
    <w:p>
      <w:pPr>
        <w:pStyle w:val="ListParagraph"/>
        <w:numPr>
          <w:ilvl w:val="0"/>
          <w:numId w:val="2"/>
        </w:numPr>
        <w:spacing w:after="80" w:line="276"/>
      </w:pPr>
      <w:r>
        <w:rPr>
          <w:b/>
          <w:bCs/>
        </w:rPr>
        <w:t xml:space="preserve">Suggested values are starting points.</w:t>
      </w:r>
      <w:r>
        <w:t xml:space="preserve"> Proposed figures, such as 90 days for a label to remain Pending or 5 minutes for the public catalogue to switch to a new version, are for discussion and are not drawn from any source.</w:t>
      </w:r>
    </w:p>
    <w:p>
      <w:pPr>
        <w:pStyle w:val="ListParagraph"/>
        <w:numPr>
          <w:ilvl w:val="0"/>
          <w:numId w:val="2"/>
        </w:numPr>
        <w:spacing w:after="80" w:line="276"/>
      </w:pPr>
      <w:r>
        <w:rPr>
          <w:b/>
          <w:bCs/>
        </w:rPr>
        <w:t xml:space="preserve">The European standards continue to evolve.</w:t>
      </w:r>
      <w:r>
        <w:t xml:space="preserve"> The specification is designed to cope with this by citing standards by release, but each new release will need an impact assessment (MD-04).</w:t>
      </w:r>
    </w:p>
    <w:p>
      <w:pPr>
        <w:spacing w:after="140" w:line="288"/>
      </w:pPr>
      <w:r>
        <w:t xml:space="preserve">Recommended next steps are:</w:t>
      </w:r>
    </w:p>
    <w:p>
      <w:pPr>
        <w:pStyle w:val="ListParagraph"/>
        <w:numPr>
          <w:ilvl w:val="0"/>
          <w:numId w:val="7"/>
        </w:numPr>
        <w:spacing w:after="80" w:line="276"/>
      </w:pPr>
      <w:r>
        <w:t xml:space="preserve">The steering group considers whether Deliverable 6.1 should be revised before it is used for procurement.</w:t>
      </w:r>
    </w:p>
    <w:p>
      <w:pPr>
        <w:pStyle w:val="ListParagraph"/>
        <w:numPr>
          <w:ilvl w:val="0"/>
          <w:numId w:val="7"/>
        </w:numPr>
        <w:spacing w:after="80" w:line="276"/>
      </w:pPr>
      <w:r>
        <w:t xml:space="preserve">The owning bodies take the decisions in Table 3 and set the capacity, service-level and governance parameters.</w:t>
      </w:r>
    </w:p>
    <w:p>
      <w:pPr>
        <w:pStyle w:val="ListParagraph"/>
        <w:numPr>
          <w:ilvl w:val="0"/>
          <w:numId w:val="7"/>
        </w:numPr>
        <w:spacing w:after="80" w:line="276"/>
      </w:pPr>
      <w:r>
        <w:t xml:space="preserve">A small working prototype demonstrates publication, withdrawal, repair and the EU link, including deliberate failures.</w:t>
      </w:r>
    </w:p>
    <w:p>
      <w:pPr>
        <w:pStyle w:val="ListParagraph"/>
        <w:numPr>
          <w:ilvl w:val="0"/>
          <w:numId w:val="7"/>
        </w:numPr>
        <w:spacing w:after="80" w:line="276"/>
      </w:pPr>
      <w:r>
        <w:t xml:space="preserve">The revised specification is reviewed by people with clinical, data, technical, security and legal expertise before it is used for procurement.</w:t>
      </w:r>
    </w:p>
    <w:p>
      <w:pPr>
        <w:pStyle w:val="Heading1"/>
        <w:pageBreakBefore/>
      </w:pPr>
      <w:r>
        <w:t xml:space="preserve">Appendix A. Where each Deliverable 6.1 requirement now lives</w:t>
      </w:r>
    </w:p>
    <w:p>
      <w:pPr>
        <w:spacing w:after="140" w:line="288"/>
      </w:pPr>
      <w:r>
        <w:t xml:space="preserve">This table lists each requirement in Deliverable 6.1 and the requirements in the proposed specification that now cover it. "Retained" means the substance is kept; "Corrected" refers to the finding addressed.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3638"/>
        <w:gridCol w:w="2000"/>
      </w:tblGrid>
      <w:tr>
        <w:trPr>
          <w:cantSplit/>
          <w:tblHeader/>
        </w:trPr>
        <w:tc>
          <w:tcPr>
            <w:tcW w:type="dxa" w:w="1300"/>
            <w:tcBorders>
              <w:top w:val="single" w:color="BFBFBF" w:sz="4"/>
              <w:left w:val="single" w:color="BFBFBF" w:sz="4"/>
              <w:bottom w:val="single" w:color="BFBFBF" w:sz="4"/>
              <w:right w:val="single" w:color="BFBFBF" w:sz="4"/>
            </w:tcBorders>
            <w:shd w:fill="DCE6F0" w:color="auto" w:val="clear"/>
            <w:tcMar>
              <w:top w:type="dxa" w:w="70"/>
              <w:left w:type="dxa" w:w="110"/>
              <w:bottom w:type="dxa" w:w="70"/>
              <w:right w:type="dxa" w:w="110"/>
            </w:tcMar>
          </w:tcPr>
          <w:p>
            <w:pPr>
              <w:spacing w:after="40" w:line="264"/>
            </w:pPr>
            <w:r>
              <w:rPr>
                <w:b/>
                <w:bCs/>
                <w:sz w:val="19"/>
                <w:szCs w:val="19"/>
              </w:rPr>
              <w:t xml:space="preserve">Deliverable 6.1</w:t>
            </w:r>
          </w:p>
        </w:tc>
        <w:tc>
          <w:tcPr>
            <w:tcW w:type="dxa" w:w="2700"/>
            <w:tcBorders>
              <w:top w:val="single" w:color="BFBFBF" w:sz="4"/>
              <w:left w:val="single" w:color="BFBFBF" w:sz="4"/>
              <w:bottom w:val="single" w:color="BFBFBF" w:sz="4"/>
              <w:right w:val="single" w:color="BFBFBF" w:sz="4"/>
            </w:tcBorders>
            <w:shd w:fill="DCE6F0" w:color="auto" w:val="clear"/>
            <w:tcMar>
              <w:top w:type="dxa" w:w="70"/>
              <w:left w:type="dxa" w:w="110"/>
              <w:bottom w:type="dxa" w:w="70"/>
              <w:right w:type="dxa" w:w="110"/>
            </w:tcMar>
          </w:tcPr>
          <w:p>
            <w:pPr>
              <w:spacing w:after="40" w:line="264"/>
            </w:pPr>
            <w:r>
              <w:rPr>
                <w:b/>
                <w:bCs/>
                <w:sz w:val="19"/>
                <w:szCs w:val="19"/>
              </w:rPr>
              <w:t xml:space="preserve">Title</w:t>
            </w:r>
          </w:p>
        </w:tc>
        <w:tc>
          <w:tcPr>
            <w:tcW w:type="dxa" w:w="3638"/>
            <w:tcBorders>
              <w:top w:val="single" w:color="BFBFBF" w:sz="4"/>
              <w:left w:val="single" w:color="BFBFBF" w:sz="4"/>
              <w:bottom w:val="single" w:color="BFBFBF" w:sz="4"/>
              <w:right w:val="single" w:color="BFBFBF" w:sz="4"/>
            </w:tcBorders>
            <w:shd w:fill="DCE6F0" w:color="auto" w:val="clear"/>
            <w:tcMar>
              <w:top w:type="dxa" w:w="70"/>
              <w:left w:type="dxa" w:w="110"/>
              <w:bottom w:type="dxa" w:w="70"/>
              <w:right w:type="dxa" w:w="110"/>
            </w:tcMar>
          </w:tcPr>
          <w:p>
            <w:pPr>
              <w:spacing w:after="40" w:line="264"/>
            </w:pPr>
            <w:r>
              <w:rPr>
                <w:b/>
                <w:bCs/>
                <w:sz w:val="19"/>
                <w:szCs w:val="19"/>
              </w:rPr>
              <w:t xml:space="preserve">Proposed specification</w:t>
            </w:r>
          </w:p>
        </w:tc>
        <w:tc>
          <w:tcPr>
            <w:tcW w:type="dxa" w:w="2000"/>
            <w:tcBorders>
              <w:top w:val="single" w:color="BFBFBF" w:sz="4"/>
              <w:left w:val="single" w:color="BFBFBF" w:sz="4"/>
              <w:bottom w:val="single" w:color="BFBFBF" w:sz="4"/>
              <w:right w:val="single" w:color="BFBFBF" w:sz="4"/>
            </w:tcBorders>
            <w:shd w:fill="DCE6F0" w:color="auto" w:val="clear"/>
            <w:tcMar>
              <w:top w:type="dxa" w:w="70"/>
              <w:left w:type="dxa" w:w="110"/>
              <w:bottom w:type="dxa" w:w="70"/>
              <w:right w:type="dxa" w:w="110"/>
            </w:tcMar>
          </w:tcPr>
          <w:p>
            <w:pPr>
              <w:spacing w:after="40" w:line="264"/>
            </w:pPr>
            <w:r>
              <w:rPr>
                <w:b/>
                <w:bCs/>
                <w:sz w:val="19"/>
                <w:szCs w:val="19"/>
              </w:rPr>
              <w:t xml:space="preserve">Change</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BR 01</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Metadata record creation</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BR-01</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Retained</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BR 02</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Publication and update</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BR-02</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Retained</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BR 03</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Searching for datasets</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BR-03</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Corrected (F01)</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(new)</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BR-04 to BR-06: EU federation, accountability, obligations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Added (F14)</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FR 01</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Multilingual support</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MD-12, NF-08, NF-12</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Retained</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FR 02</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Identification and authorisation</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DS-01, AC-01 to AC-12</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Corrected (F01, F12, F16)</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FR 03</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Create and edit descriptions</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CT-01 to CT-07, IM-06, MD-06, MD-08 to MD-11, MD-15</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Corrected (F13, F14, F16)</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FR 04</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Quality and utility labels</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QL-01 to QL-07, QL-13 to QL-15</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Corrected (F11)</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FR 05</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Enforce minimum elements</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MD-01, MD-17, CT-05, check G1</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Corrected (F18)</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FR 06</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Submit description</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LC-02 (submit), NT-01</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Retained</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FR 07</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Review description and labels</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LC-02 (return, revoke), QL-05</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Corrected (F03)</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FR 08</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Publish description</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LC-02 (approve), PB-01, PB-08, PB-17, IM-01, IM-02, IM-11, MD-09, MD-14</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Corrected (F10)</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FR 09</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Update or delete; change history</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IM-03, IM-10, LC-02 (withdraw, discard), LC-03</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Corrected (F02, F03)</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FR 010</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Versioning</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IM-04, IM-05, IM-08, IM-09</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Retained</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FR 011</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Rollback</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LC-04</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Retained, simplified</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FR 012</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Periodic reviews</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LC-05, LC-06, LC-10</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Retained</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FR 013</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Review reminders</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NT-02, NT-04</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Retained</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FR 014</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Audit trails</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AU-01, AU-02, AU-05, AU-06</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Corrected (F17)</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FR 015</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Export audit trail</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AU-04</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Retained</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FR 016</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Search</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DS-01, DS-02</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Corrected (F01)</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FR 017</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Select and export</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DS-05</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Corrected (F02)</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FR 018</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Save and share searches</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DS-06, DS-07</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Corrected (F07)</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FR 019</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Alerts on saved items</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DS-13, NT-03</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Retained</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FR 020</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Filter and sort</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DS-03, DS-12</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Retained</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FR 021</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Compare datasets</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DS-04</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Corrected (F02)</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FR 022</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Feedback</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DS-08</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Corrected (F02)</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FR 023</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Dataset basket</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DS-09; DI-01 to DI-04</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Deferred, now traced (F04)</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NFR 01–02</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Browsers and mobile</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NF-07, NF-09</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Retained; screen detail moved to design guidance</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NFR 03</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Multilingual</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NF-08, NF-12</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Retained</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NFR 04</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Footer</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Design guidance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Moved (F05)</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NFR 05</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Sign-in and registration</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AC-02 to AC-04, AC-10</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Corrected (F01, F16)</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NFR 06–014</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Record management qualities</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LC, IM and PB requirements; NF-03</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Corrected (F02, F03, F15)</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NFR 015</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Reviews, notifications, audit</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LC-05, LC-06, NT-02, AU requirements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Corrected (F17)</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NFR 016</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Audit export</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AU-04</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Retained</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NFR 017–023</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Discovery qualities</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DS requirements, NF-02, SE-06, SE-08</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Corrected (F02, F15, F16)</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NFR 024</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Backup, load, hosting, recovery</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NF-01, NF-04 to NF-06, NF-10, NF-11, NF-13, SE-07, parameters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Corrected (F15)</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§3.4–3.6</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Technical specification</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AR-01 to AR-07</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Corrected (F06, F07, F19)</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Appendix 6</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Metadata field table</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MD-01 to MD-04, MD-17 (by reference to EU law)</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Replaced (F18)</w:t>
            </w:r>
          </w:p>
        </w:tc>
      </w:tr>
    </w:tbl>
    <w:p>
      <w:pPr>
        <w:pStyle w:val="Heading1"/>
        <w:pageBreakBefore/>
      </w:pPr>
      <w:r>
        <w:t xml:space="preserve">Appendix B.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DCE6F0" w:color="auto" w:val="clear"/>
            <w:tcMar>
              <w:top w:type="dxa" w:w="70"/>
              <w:left w:type="dxa" w:w="110"/>
              <w:bottom w:type="dxa" w:w="70"/>
              <w:right w:type="dxa" w:w="110"/>
            </w:tcMar>
          </w:tcPr>
          <w:p>
            <w:pPr>
              <w:spacing w:after="40" w:line="264"/>
            </w:pPr>
            <w:r>
              <w:rPr>
                <w:b/>
                <w:bCs/>
                <w:sz w:val="19"/>
                <w:szCs w:val="19"/>
              </w:rPr>
              <w:t xml:space="preserve">Term</w:t>
            </w:r>
          </w:p>
        </w:tc>
        <w:tc>
          <w:tcPr>
            <w:tcW w:type="dxa" w:w="6638"/>
            <w:tcBorders>
              <w:top w:val="single" w:color="BFBFBF" w:sz="4"/>
              <w:left w:val="single" w:color="BFBFBF" w:sz="4"/>
              <w:bottom w:val="single" w:color="BFBFBF" w:sz="4"/>
              <w:right w:val="single" w:color="BFBFBF" w:sz="4"/>
            </w:tcBorders>
            <w:shd w:fill="DCE6F0" w:color="auto" w:val="clear"/>
            <w:tcMar>
              <w:top w:type="dxa" w:w="70"/>
              <w:left w:type="dxa" w:w="110"/>
              <w:bottom w:type="dxa" w:w="70"/>
              <w:right w:type="dxa" w:w="110"/>
            </w:tcMar>
          </w:tcPr>
          <w:p>
            <w:pPr>
              <w:spacing w:after="40" w:line="264"/>
            </w:pPr>
            <w:r>
              <w:rPr>
                <w:b/>
                <w:bCs/>
                <w:sz w:val="19"/>
                <w:szCs w:val="19"/>
              </w:rPr>
              <w:t xml:space="preserve">Meaning</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Dataset catalogue</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 searchable public list describing which health datasets exist, who holds them and how to apply to use them. It contains no patient data.</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Metadata</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Information about a dataset, such as its contents, time period, population covered and access conditions.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Data holder</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organisation that holds a dataset and is responsible for describing it accurately, such as a hospital group or a registry.</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Data release</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An identified version of a dataset's content, such as an annual extract.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Data quality and utility label</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 standard summary of a dataset's quality, required by Article 78 of the EHDS regulation for some datasets.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EHDS</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European Health Data Space: the 2025 EU regulation setting rules for using health data, including national catalogues.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Health data access body (HDAB)</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national body that will run the catalogue and decide on applications to use health data.</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DAAMS</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Data Access Application Management System: the system that handles applications to use data and the release of data.</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HealthDCAT-AP</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European standard format for describing health datasets, so that catalogues in different countries can be searched together.</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piveau</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Open-source software for running data catalogues, used by the EU's central health data platform.</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SHACL</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 technique for automatically checking that a description has the right fields in the right format.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Content hash</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 digital fingerprint of a document's text. Any change to the text changes the fingerprint.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Requirements specification</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document that tells a supplier exactly what a system must do, in enough detail to build and test it.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Traceability</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ability to show why each requirement exists and how it will be checked.</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ReSpec</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 free tool that formats a web page as a standards-style specification, used by the W3C and others.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W3C</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World Wide Web Consortium, the international body that develops web standards.</w:t>
            </w:r>
          </w:p>
        </w:tc>
      </w:tr>
    </w:tbl>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95959"/>
        <w:sz w:val="17"/>
        <w:szCs w:val="17"/>
      </w:rPr>
      <w:t xml:space="preserve">Copyright © 2026 Agile Health Informatics Ltd.</w:t>
    </w:r>
    <w:r>
      <w:rPr>
        <w:color w:val="595959"/>
        <w:sz w:val="17"/>
        <w:szCs w:val="17"/>
      </w:rPr>
      <w:t xml:space="preserve">	Page </w:t>
    </w:r>
    <w:r>
      <w:rPr>
        <w:color w:val="595959"/>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7"/>
        <w:szCs w:val="17"/>
      </w:rPr>
      <w:t xml:space="preserve">National Health Dataset Catalogue: Assurance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color w:val="1F4E79"/>
      <w:sz w:val="32"/>
      <w:szCs w:val="32"/>
    </w:rPr>
  </w:style>
  <w:style w:type="paragraph" w:styleId="Heading2">
    <w:name w:val="Heading 2"/>
    <w:basedOn w:val="Normal"/>
    <w:next w:val="Normal"/>
    <w:qFormat/>
    <w:pPr>
      <w:keepNext/>
      <w:spacing w:after="140" w:before="300"/>
      <w:outlineLvl w:val="1"/>
    </w:pPr>
    <w:rPr>
      <w:rFonts w:ascii="Arial" w:cs="Arial" w:eastAsia="Arial" w:hAnsi="Arial"/>
      <w:b/>
      <w:bCs/>
      <w:color w:val="1F4E79"/>
      <w:sz w:val="25"/>
      <w:szCs w:val="25"/>
    </w:rPr>
  </w:style>
  <w:style w:type="paragraph" w:styleId="Heading3">
    <w:name w:val="Heading 3"/>
    <w:basedOn w:val="Normal"/>
    <w:next w:val="Normal"/>
    <w:qFormat/>
    <w:pPr>
      <w:keepNext/>
      <w:spacing w:after="100" w:before="200"/>
      <w:outlineLvl w:val="2"/>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Health Dataset Catalogue: Assurance Report</dc:title>
  <dc:creator>Dr Tito Castillo</dc:creator>
  <dc:description>Critique of HIQA Deliverable 6.1 and rationale for the proposed reference specification v0.3</dc:description>
  <cp:lastModifiedBy>Un-named</cp:lastModifiedBy>
  <cp:revision>1</cp:revision>
  <dcterms:created xsi:type="dcterms:W3CDTF">2026-10-26T10:31:50.046Z</dcterms:created>
  <dcterms:modified xsi:type="dcterms:W3CDTF">2026-10-26T10:31:50.054Z</dcterms:modified>
</cp:coreProperties>
</file>

<file path=docProps/custom.xml><?xml version="1.0" encoding="utf-8"?>
<Properties xmlns="http://schemas.openxmlformats.org/officeDocument/2006/custom-properties" xmlns:vt="http://schemas.openxmlformats.org/officeDocument/2006/docPropsVTypes"/>
</file>