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Main Agency Admin Page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The information is arranged by category (e.g., general agency info, agency addresses, etc.)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The "Edit" link takes user to a page where all data in category can be viewed and edited.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The "More ..." link expands the table in-place (from, say 4 rows to 30 rows (or less if less than 30 records). When this occurs, there is a "Less ..." link (replac</w:t>
      </w:r>
      <w:r>
        <w:rPr>
          <w:rtl w:val="0"/>
          <w:lang w:val="en-US"/>
        </w:rPr>
        <w:t>ing</w:t>
      </w:r>
      <w:r>
        <w:rPr>
          <w:rtl w:val="0"/>
          <w:lang w:val="en-US"/>
        </w:rPr>
        <w:t xml:space="preserve"> the "More ..." link) to undo the shrinkage.</w:t>
      </w:r>
      <w:r>
        <w:rPr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289472</wp:posOffset>
            </wp:positionH>
            <wp:positionV relativeFrom="line">
              <wp:posOffset>219345</wp:posOffset>
            </wp:positionV>
            <wp:extent cx="4882113" cy="549718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13" cy="549718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The "Review" button takes the user to a specific page for reviewing and acting upon the action item. (later, we can expand so that the admin can perform some of these actions while in this page - rev 2 of the UI).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The "Add Action" results is a dialog box where a new action can be created.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Category Edit Page</w:t>
      </w:r>
    </w:p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400800" cy="48422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42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Th</w:t>
      </w:r>
      <w:r>
        <w:rPr>
          <w:rtl w:val="0"/>
          <w:lang w:val="en-US"/>
        </w:rPr>
        <w:t>is example</w:t>
      </w:r>
      <w:r>
        <w:rPr>
          <w:rtl w:val="0"/>
          <w:lang w:val="en-US"/>
        </w:rPr>
        <w:t xml:space="preserve"> table </w:t>
      </w:r>
      <w:r>
        <w:rPr>
          <w:rtl w:val="0"/>
          <w:lang w:val="en-US"/>
        </w:rPr>
        <w:t>would</w:t>
      </w:r>
      <w:r>
        <w:rPr>
          <w:rtl w:val="0"/>
          <w:lang w:val="en-US"/>
        </w:rPr>
        <w:t xml:space="preserve"> have address data for all defined addresses ("fake" data not shown above).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Each existing action item can be edited (in pop-up) or deleted (with confirmation box) via the "Action" column links.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page"/>
      </w:r>
    </w:p>
    <w:p>
      <w:pPr>
        <w:pStyle w:val="Default"/>
        <w:bidi w:val="0"/>
        <w:ind w:left="0" w:right="0" w:firstLine="0"/>
        <w:jc w:val="center"/>
        <w:rPr>
          <w:b w:val="1"/>
          <w:bCs w:val="1"/>
          <w:rtl w:val="0"/>
        </w:rPr>
      </w:pPr>
      <w:r>
        <w:rPr>
          <w:b w:val="1"/>
          <w:bCs w:val="1"/>
          <w:rtl w:val="0"/>
          <w:lang w:val="en-US"/>
        </w:rPr>
        <w:t>Action Page</w:t>
      </w:r>
      <w:r>
        <w:rPr>
          <w:b w:val="1"/>
          <w:bCs w:val="1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355600</wp:posOffset>
            </wp:positionH>
            <wp:positionV relativeFrom="line">
              <wp:posOffset>171450</wp:posOffset>
            </wp:positionV>
            <wp:extent cx="5678009" cy="6400800"/>
            <wp:effectExtent l="0" t="0" r="0" b="0"/>
            <wp:wrapThrough wrapText="bothSides" distL="152400" distR="152400">
              <wp:wrapPolygon edited="1">
                <wp:start x="-24" y="-21"/>
                <wp:lineTo x="-24" y="0"/>
                <wp:lineTo x="-24" y="21600"/>
                <wp:lineTo x="-24" y="21621"/>
                <wp:lineTo x="0" y="21621"/>
                <wp:lineTo x="21600" y="21621"/>
                <wp:lineTo x="21624" y="21621"/>
                <wp:lineTo x="21624" y="21600"/>
                <wp:lineTo x="21624" y="0"/>
                <wp:lineTo x="21624" y="-21"/>
                <wp:lineTo x="21600" y="-21"/>
                <wp:lineTo x="0" y="-21"/>
                <wp:lineTo x="-24" y="-21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009" cy="6400800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The a</w:t>
      </w:r>
      <w:r>
        <w:rPr>
          <w:rtl w:val="0"/>
          <w:lang w:val="en-US"/>
        </w:rPr>
        <w:t>gency admin can create a new action via the "Add Action" button. If the process for that action requires Agency Manager approval, it is routed to the AM as the first step.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Each action can be reviewed as shown in the pop-up. Here, we see that the first step for adding a job developer is complete (agency manager approval). The next step is to send an email to the JD with a link to the page in which the JD can register in PETS. This 2nd step is activated by the agency admin via the "Send Email" link.</w:t>
      </w:r>
    </w:p>
    <w:sectPr>
      <w:headerReference w:type="default" r:id="rId7"/>
      <w:footerReference w:type="default" r:id="rId8"/>
      <w:pgSz w:w="12240" w:h="15840" w:orient="portrait"/>
      <w:pgMar w:top="1080" w:right="1080" w:bottom="720" w:left="108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