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BAIL COMMERCIAL</w:t>
      </w:r>
    </w:p>
    <w:p>
      <w:pPr>
        <w:spacing w:before="102"/>
        <w:ind w:left="4" w:right="5" w:firstLine="0"/>
        <w:jc w:val="center"/>
        <w:rPr>
          <w:i/>
          <w:sz w:val="20"/>
        </w:rPr>
      </w:pPr>
      <w:r>
        <w:rPr>
          <w:i/>
          <w:sz w:val="20"/>
        </w:rPr>
        <w:t>(Articles L. 145-1 et suivants du Code de commerce)</w:t>
      </w:r>
    </w:p>
    <w:p>
      <w:pPr>
        <w:pStyle w:val="BodyText"/>
        <w:spacing w:before="168"/>
        <w:rPr>
          <w:i/>
          <w:sz w:val="20"/>
        </w:rPr>
      </w:pPr>
    </w:p>
    <w:p>
      <w:pPr>
        <w:spacing w:before="0"/>
        <w:ind w:left="5" w:right="5" w:firstLine="0"/>
        <w:jc w:val="center"/>
        <w:rPr>
          <w:sz w:val="20"/>
        </w:rPr>
      </w:pPr>
      <w:r>
        <w:rPr>
          <w:spacing w:val="-2"/>
          <w:sz w:val="20"/>
        </w:rPr>
        <w:t>════════════════════════════════════════════════════════</w:t>
      </w:r>
    </w:p>
    <w:p>
      <w:pPr>
        <w:pStyle w:val="BodyText"/>
        <w:spacing w:before="173"/>
        <w:rPr>
          <w:sz w:val="20"/>
        </w:rPr>
      </w:pPr>
    </w:p>
    <w:p>
      <w:pPr>
        <w:spacing w:before="0"/>
        <w:ind w:left="4" w:right="5" w:firstLine="0"/>
        <w:jc w:val="center"/>
        <w:rPr>
          <w:b/>
          <w:sz w:val="26"/>
        </w:rPr>
      </w:pPr>
      <w:r>
        <w:rPr>
          <w:b/>
          <w:sz w:val="26"/>
        </w:rPr>
        <w:t>ENTRE LES SOUSSIGNÉS</w:t>
      </w:r>
    </w:p>
    <w:p>
      <w:pPr>
        <w:spacing w:line="276" w:lineRule="auto" w:before="298"/>
        <w:ind w:left="143" w:right="136" w:firstLine="0"/>
        <w:jc w:val="both"/>
        <w:rPr>
          <w:sz w:val="22"/>
        </w:rPr>
      </w:pPr>
      <w:r>
        <w:rPr>
          <w:sz w:val="22"/>
        </w:rPr>
        <w:t>&lt;ORGANIZATION&gt;, Société Civile Immobilière au capital de 500 000 euros, immatriculée au Registre du Commerce et des Sociétés de Paris sous le numéro Paris B 412 567 890, dont le siège social est situé au &lt;ADDRESS&gt;,</w:t>
      </w:r>
    </w:p>
    <w:p>
      <w:pPr>
        <w:pStyle w:val="BodyText"/>
        <w:spacing w:line="276" w:lineRule="auto" w:before="200"/>
        <w:ind w:left="143" w:right="140"/>
        <w:jc w:val="both"/>
      </w:pPr>
      <w:r>
        <w:rPr/>
        <w:t>Représentée aux présentes par Monsieur &lt;PERSON&gt;, né le &lt;DATE&gt; à &lt;LOCATION&gt;, de nationalité française, demeurant au &lt;ADDRESS&gt;, agissant en qualité de Gérant, dûment habilité à l'effet des présentes,</w:t>
      </w:r>
    </w:p>
    <w:p>
      <w:pPr>
        <w:spacing w:before="200"/>
        <w:ind w:left="143" w:right="0" w:firstLine="0"/>
        <w:jc w:val="both"/>
        <w:rPr>
          <w:sz w:val="22"/>
        </w:rPr>
      </w:pPr>
      <w:r>
        <w:rPr>
          <w:sz w:val="22"/>
        </w:rPr>
        <w:t>Ci-après dénommé « &lt;PROFESSION&gt; »,</w:t>
      </w:r>
    </w:p>
    <w:p>
      <w:pPr>
        <w:spacing w:before="239"/>
        <w:ind w:left="5" w:right="5" w:firstLine="0"/>
        <w:jc w:val="center"/>
        <w:rPr>
          <w:b/>
          <w:sz w:val="22"/>
        </w:rPr>
      </w:pPr>
      <w:r>
        <w:rPr>
          <w:b/>
          <w:sz w:val="22"/>
        </w:rPr>
        <w:t>D'UNE PART,</w:t>
      </w:r>
    </w:p>
    <w:p>
      <w:pPr>
        <w:spacing w:before="201"/>
        <w:ind w:left="143" w:right="0" w:firstLine="0"/>
        <w:jc w:val="left"/>
        <w:rPr>
          <w:b/>
          <w:sz w:val="22"/>
        </w:rPr>
      </w:pPr>
      <w:r>
        <w:rPr>
          <w:b/>
          <w:spacing w:val="-5"/>
          <w:sz w:val="22"/>
        </w:rPr>
        <w:t>ET</w:t>
      </w:r>
    </w:p>
    <w:p>
      <w:pPr>
        <w:spacing w:line="276" w:lineRule="auto" w:before="237"/>
        <w:ind w:left="143" w:right="137" w:firstLine="0"/>
        <w:jc w:val="both"/>
        <w:rPr>
          <w:sz w:val="22"/>
        </w:rPr>
      </w:pPr>
      <w:r>
        <w:rPr>
          <w:sz w:val="22"/>
        </w:rPr>
        <w:t>&lt;ORGANIZATION&gt;, Société à Responsabilité Limitée au capital de 75 000 euros, immatriculée au Registre du Commerce et des Sociétés de Paris sous le numéro Paris B 892 345 678, dont le siège social est situé au &lt;ADDRESS&gt;,</w:t>
      </w:r>
    </w:p>
    <w:p>
      <w:pPr>
        <w:pStyle w:val="BodyText"/>
        <w:spacing w:line="276" w:lineRule="auto" w:before="200"/>
        <w:ind w:left="143" w:right="140"/>
        <w:jc w:val="both"/>
      </w:pPr>
      <w:r>
        <w:rPr/>
        <w:t>Représentée aux présentes par Madame &lt;PERSON&gt;, née le &lt;DATE&gt; à &lt;LOCATION&gt;, de nationalité française, demeurant au &lt;ADDRESS&gt;, agissant en qualité de &lt;JOB_TITLE&gt;, dûment habilitée à l'effet des présentes,</w:t>
      </w:r>
    </w:p>
    <w:p>
      <w:pPr>
        <w:spacing w:before="200"/>
        <w:ind w:left="143" w:right="0" w:firstLine="0"/>
        <w:jc w:val="both"/>
        <w:rPr>
          <w:sz w:val="22"/>
        </w:rPr>
      </w:pPr>
      <w:r>
        <w:rPr>
          <w:sz w:val="22"/>
        </w:rPr>
        <w:t>Ci-après dénommé « &lt;PROFESSION&gt; »,</w:t>
      </w:r>
    </w:p>
    <w:p>
      <w:pPr>
        <w:spacing w:before="239"/>
        <w:ind w:left="4" w:right="5" w:firstLine="0"/>
        <w:jc w:val="center"/>
        <w:rPr>
          <w:b/>
          <w:sz w:val="22"/>
        </w:rPr>
      </w:pPr>
      <w:r>
        <w:rPr>
          <w:b/>
          <w:sz w:val="22"/>
        </w:rPr>
        <w:t>D'AUTRE PART,</w:t>
      </w:r>
    </w:p>
    <w:p>
      <w:pPr>
        <w:pStyle w:val="BodyText"/>
        <w:spacing w:before="44"/>
        <w:rPr>
          <w:b/>
        </w:rPr>
      </w:pPr>
    </w:p>
    <w:p>
      <w:pPr>
        <w:spacing w:before="0"/>
        <w:ind w:left="4" w:right="5" w:firstLine="0"/>
        <w:jc w:val="center"/>
        <w:rPr>
          <w:b/>
          <w:sz w:val="24"/>
        </w:rPr>
      </w:pPr>
      <w:r>
        <w:rPr>
          <w:b/>
          <w:sz w:val="24"/>
        </w:rPr>
        <w:t>&lt;PERSON&gt; A ÉTÉ CONVENU ET ARRÊTÉ CE QUI SUIT :</w:t>
      </w:r>
    </w:p>
    <w:p>
      <w:pPr>
        <w:pStyle w:val="BodyText"/>
        <w:spacing w:before="128"/>
        <w:rPr>
          <w:b/>
          <w:sz w:val="24"/>
        </w:rPr>
      </w:pPr>
    </w:p>
    <w:p>
      <w:pPr>
        <w:pStyle w:val="Heading1"/>
        <w:rPr>
          <w:u w:val="none"/>
        </w:rPr>
      </w:pPr>
      <w:r>
        <w:rPr>
          <w:spacing w:val="-2"/>
          <w:u w:val="single"/>
        </w:rPr>
        <w:t>PRÉAMBULE</w:t>
      </w:r>
    </w:p>
    <w:p>
      <w:pPr>
        <w:pStyle w:val="BodyText"/>
        <w:spacing w:line="276" w:lineRule="auto" w:before="199"/>
        <w:ind w:left="143" w:right="137"/>
        <w:jc w:val="both"/>
      </w:pPr>
      <w:r>
        <w:rPr/>
        <w:t>&lt;PERSON&gt; déclare être propriétaire d'un ensemble immobilier à usage commercial situé au &lt;ADDRESS&gt;, cadastré Section AO n° 145, figurant au titre de propriété publié au Service de la Publicité Foncière de Paris 8e le 15 juin 2010, volume 2010 P n° 4521.</w:t>
      </w:r>
    </w:p>
    <w:p>
      <w:pPr>
        <w:pStyle w:val="BodyText"/>
        <w:spacing w:line="276" w:lineRule="auto"/>
        <w:ind w:left="143" w:right="138"/>
        <w:jc w:val="both"/>
      </w:pPr>
      <w:r>
        <w:rPr/>
        <w:t>&lt;PERSON&gt; a manifesté le souhait de prendre à bail les locaux ci-après désignés afin d'y exercer une activité de &lt;PROFESSION&gt; avec vente de produits alimentaires, salon de thé et petite restauration.</w:t>
      </w:r>
    </w:p>
    <w:p>
      <w:pPr>
        <w:pStyle w:val="BodyText"/>
        <w:spacing w:before="47"/>
      </w:pPr>
    </w:p>
    <w:p>
      <w:pPr>
        <w:pStyle w:val="Heading1"/>
        <w:rPr>
          <w:u w:val="none"/>
        </w:rPr>
      </w:pPr>
      <w:r>
        <w:rPr>
          <w:u w:val="single"/>
        </w:rPr>
        <w:t>TITRE I - DÉSIGNATION DES LOCAUX LOUÉS</w:t>
      </w:r>
    </w:p>
    <w:p>
      <w:pPr>
        <w:pStyle w:val="BodyText"/>
        <w:spacing w:before="123"/>
        <w:rPr>
          <w:b/>
          <w:sz w:val="24"/>
        </w:rPr>
      </w:pPr>
    </w:p>
    <w:p>
      <w:pPr>
        <w:pStyle w:val="Heading2"/>
      </w:pPr>
      <w:r>
        <w:rPr/>
        <w:t>Article 1 - Description des locaux</w:t>
      </w:r>
    </w:p>
    <w:p>
      <w:pPr>
        <w:pStyle w:val="BodyText"/>
        <w:ind w:left="143"/>
      </w:pPr>
      <w:r>
        <w:rPr/>
        <w:t>Le Bailleur donne à bail au &lt;PERSON&gt;, qui accepte, les locaux ci-après désignés dépendant de l'immeuble sis</w:t>
      </w:r>
    </w:p>
    <w:p>
      <w:pPr>
        <w:pStyle w:val="Heading3"/>
        <w:ind w:left="143"/>
        <w:rPr>
          <w:b w:val="0"/>
        </w:rPr>
      </w:pPr>
      <w:r>
        <w:rPr/>
        <w:t>&lt;ADDRESS&gt; :</w:t>
      </w:r>
    </w:p>
    <w:p>
      <w:pPr>
        <w:spacing w:before="237"/>
        <w:ind w:left="503" w:right="0" w:firstLine="0"/>
        <w:jc w:val="left"/>
        <w:rPr>
          <w:b/>
          <w:sz w:val="22"/>
        </w:rPr>
      </w:pPr>
      <w:r>
        <w:rPr>
          <w:b/>
          <w:sz w:val="22"/>
        </w:rPr>
        <w:t>Au rez-de-chaussée :</w:t>
      </w:r>
    </w:p>
    <w:p>
      <w:pPr>
        <w:spacing w:after="0"/>
        <w:jc w:val="left"/>
        <w:rPr>
          <w:b/>
          <w:sz w:val="22"/>
        </w:rPr>
        <w:sectPr>
          <w:headerReference w:type="default" r:id="rId5"/>
          <w:footerReference w:type="default" r:id="rId6"/>
          <w:type w:val="continuous"/>
          <w:pgSz w:w="11910" w:h="16840"/>
          <w:pgMar w:header="715" w:footer="704" w:top="1040" w:bottom="900" w:left="1275" w:right="992"/>
          <w:pgNumType w:start="1"/>
        </w:sectPr>
      </w:pPr>
    </w:p>
    <w:p>
      <w:pPr>
        <w:pStyle w:val="ListParagraph"/>
        <w:numPr>
          <w:ilvl w:val="0"/>
          <w:numId w:val="1"/>
        </w:numPr>
        <w:tabs>
          <w:tab w:pos="989" w:val="left" w:leader="none"/>
        </w:tabs>
        <w:spacing w:line="240" w:lineRule="auto" w:before="81" w:after="0"/>
        <w:ind w:left="989" w:right="0" w:hanging="126"/>
        <w:jc w:val="left"/>
        <w:rPr>
          <w:sz w:val="22"/>
        </w:rPr>
      </w:pPr>
      <w:r>
        <w:rPr>
          <w:sz w:val="22"/>
        </w:rPr>
        <w:t>&lt;ORGANIZATION&gt; donnant sur rue d'une superficie de 65 m²</w:t>
      </w:r>
    </w:p>
    <w:p>
      <w:pPr>
        <w:pStyle w:val="ListParagraph"/>
        <w:numPr>
          <w:ilvl w:val="0"/>
          <w:numId w:val="1"/>
        </w:numPr>
        <w:tabs>
          <w:tab w:pos="989" w:val="left" w:leader="none"/>
        </w:tabs>
        <w:spacing w:line="240" w:lineRule="auto" w:before="239" w:after="0"/>
        <w:ind w:left="989" w:right="0" w:hanging="126"/>
        <w:jc w:val="left"/>
        <w:rPr>
          <w:sz w:val="22"/>
        </w:rPr>
      </w:pPr>
      <w:r>
        <w:rPr>
          <w:sz w:val="22"/>
        </w:rPr>
        <w:t>Un laboratoire de fabrication de 45 m²</w:t>
      </w:r>
    </w:p>
    <w:p>
      <w:pPr>
        <w:pStyle w:val="ListParagraph"/>
        <w:numPr>
          <w:ilvl w:val="0"/>
          <w:numId w:val="1"/>
        </w:numPr>
        <w:tabs>
          <w:tab w:pos="989" w:val="left" w:leader="none"/>
        </w:tabs>
        <w:spacing w:line="240" w:lineRule="auto" w:before="240" w:after="0"/>
        <w:ind w:left="989" w:right="0" w:hanging="126"/>
        <w:jc w:val="left"/>
        <w:rPr>
          <w:sz w:val="22"/>
        </w:rPr>
      </w:pPr>
      <w:r>
        <w:rPr>
          <w:sz w:val="22"/>
        </w:rPr>
        <w:t>Une réserve de 18 m²</w:t>
      </w:r>
    </w:p>
    <w:p>
      <w:pPr>
        <w:pStyle w:val="ListParagraph"/>
        <w:numPr>
          <w:ilvl w:val="0"/>
          <w:numId w:val="1"/>
        </w:numPr>
        <w:tabs>
          <w:tab w:pos="989" w:val="left" w:leader="none"/>
        </w:tabs>
        <w:spacing w:line="240" w:lineRule="auto" w:before="236" w:after="0"/>
        <w:ind w:left="989" w:right="0" w:hanging="126"/>
        <w:jc w:val="left"/>
        <w:rPr>
          <w:sz w:val="22"/>
        </w:rPr>
      </w:pPr>
      <w:r>
        <w:rPr>
          <w:sz w:val="22"/>
        </w:rPr>
        <w:t>&lt;ORGANIZATION&gt;</w:t>
      </w:r>
    </w:p>
    <w:p>
      <w:pPr>
        <w:pStyle w:val="Heading3"/>
        <w:spacing w:before="239"/>
      </w:pPr>
      <w:r>
        <w:rPr/>
        <w:t>Au sous-sol :</w:t>
      </w:r>
    </w:p>
    <w:p>
      <w:pPr>
        <w:pStyle w:val="ListParagraph"/>
        <w:numPr>
          <w:ilvl w:val="0"/>
          <w:numId w:val="1"/>
        </w:numPr>
        <w:tabs>
          <w:tab w:pos="989" w:val="left" w:leader="none"/>
        </w:tabs>
        <w:spacing w:line="240" w:lineRule="auto" w:before="237" w:after="0"/>
        <w:ind w:left="989" w:right="0" w:hanging="126"/>
        <w:jc w:val="left"/>
        <w:rPr>
          <w:sz w:val="22"/>
        </w:rPr>
      </w:pPr>
      <w:r>
        <w:rPr>
          <w:sz w:val="22"/>
        </w:rPr>
        <w:t>Une cave de stockage de 35 m²</w:t>
      </w:r>
    </w:p>
    <w:p>
      <w:pPr>
        <w:pStyle w:val="BodyText"/>
        <w:spacing w:before="239"/>
        <w:ind w:left="143"/>
        <w:jc w:val="both"/>
      </w:pPr>
      <w:r>
        <w:rPr/>
        <w:t>Soit une superficie totale de 169 m² (cent soixante-neuf mètres carrés).</w:t>
      </w:r>
    </w:p>
    <w:p>
      <w:pPr>
        <w:spacing w:line="278" w:lineRule="auto" w:before="236"/>
        <w:ind w:left="143" w:right="142" w:firstLine="0"/>
        <w:jc w:val="both"/>
        <w:rPr>
          <w:i/>
          <w:sz w:val="22"/>
        </w:rPr>
      </w:pPr>
      <w:r>
        <w:rPr>
          <w:i/>
          <w:sz w:val="22"/>
        </w:rPr>
        <w:t>Cette superficie est mentionnée à titre indicatif et aucune des parties ne pourra se prévaloir d'une différence de superficie, conformément aux dispositions de l'article L. 145-15 du Code de commerce.</w:t>
      </w:r>
    </w:p>
    <w:p>
      <w:pPr>
        <w:pStyle w:val="BodyText"/>
        <w:spacing w:before="143"/>
        <w:rPr>
          <w:i/>
        </w:rPr>
      </w:pPr>
    </w:p>
    <w:p>
      <w:pPr>
        <w:pStyle w:val="Heading2"/>
        <w:jc w:val="both"/>
      </w:pPr>
      <w:r>
        <w:rPr/>
        <w:t>Article 2 - État des lieux</w:t>
      </w:r>
    </w:p>
    <w:p>
      <w:pPr>
        <w:pStyle w:val="BodyText"/>
        <w:spacing w:line="276" w:lineRule="auto"/>
        <w:ind w:left="143" w:right="141"/>
        <w:jc w:val="both"/>
      </w:pPr>
      <w:r>
        <w:rPr/>
        <w:t>Un état des lieux contradictoire sera établi lors de la prise de possession des locaux par le &lt;PERSON&gt;. Cet état des lieux sera annexé au présent bail. À défaut d'état des lieux, &lt;PERSON&gt; sera présumé avoir reçu les locaux en bon état de réparations locatives.</w:t>
      </w:r>
    </w:p>
    <w:p>
      <w:pPr>
        <w:pStyle w:val="BodyText"/>
        <w:spacing w:before="49"/>
      </w:pPr>
    </w:p>
    <w:p>
      <w:pPr>
        <w:pStyle w:val="Heading1"/>
        <w:rPr>
          <w:u w:val="none"/>
        </w:rPr>
      </w:pPr>
      <w:r>
        <w:rPr>
          <w:u w:val="single"/>
        </w:rPr>
        <w:t>TITRE II - DURÉE DU BAIL</w:t>
      </w:r>
    </w:p>
    <w:p>
      <w:pPr>
        <w:pStyle w:val="BodyText"/>
        <w:spacing w:before="121"/>
        <w:rPr>
          <w:b/>
          <w:sz w:val="24"/>
        </w:rPr>
      </w:pPr>
    </w:p>
    <w:p>
      <w:pPr>
        <w:pStyle w:val="Heading2"/>
        <w:jc w:val="both"/>
      </w:pPr>
      <w:r>
        <w:rPr/>
        <w:t>Article 3 - Durée</w:t>
      </w:r>
    </w:p>
    <w:p>
      <w:pPr>
        <w:spacing w:line="276" w:lineRule="auto" w:before="201"/>
        <w:ind w:left="143" w:right="142" w:firstLine="0"/>
        <w:jc w:val="both"/>
        <w:rPr>
          <w:sz w:val="22"/>
        </w:rPr>
      </w:pPr>
      <w:r>
        <w:rPr>
          <w:sz w:val="22"/>
        </w:rPr>
        <w:t>Le présent bail est consenti et accepté pour une durée de NEUF ANNÉES ENTIÈRES ET CONSÉCUTIVES, qui commencera à courir le 1er avril 2024 pour se terminer le 31 mars 2033.</w:t>
      </w:r>
    </w:p>
    <w:p>
      <w:pPr>
        <w:pStyle w:val="BodyText"/>
        <w:spacing w:line="276" w:lineRule="auto"/>
        <w:ind w:left="143" w:right="139"/>
        <w:jc w:val="both"/>
      </w:pPr>
      <w:r>
        <w:rPr/>
        <w:t>Conformément aux dispositions des articles L. 145-4 et suivants du &lt;ORGANIZATION&gt;, le &lt;PERSON&gt; aura la faculté de donner congé à l'expiration de chaque période triennale, en respectant un préavis de six mois signifié par acte extrajudiciaire.</w:t>
      </w:r>
    </w:p>
    <w:p>
      <w:pPr>
        <w:pStyle w:val="BodyText"/>
        <w:spacing w:before="49"/>
      </w:pPr>
    </w:p>
    <w:p>
      <w:pPr>
        <w:pStyle w:val="Heading1"/>
        <w:ind w:left="4"/>
        <w:rPr>
          <w:u w:val="none"/>
        </w:rPr>
      </w:pPr>
      <w:r>
        <w:rPr>
          <w:u w:val="single"/>
        </w:rPr>
        <w:t>TITRE III - LOYER ET CHARGES</w:t>
      </w:r>
    </w:p>
    <w:p>
      <w:pPr>
        <w:pStyle w:val="BodyText"/>
        <w:spacing w:before="120"/>
        <w:rPr>
          <w:b/>
          <w:sz w:val="24"/>
        </w:rPr>
      </w:pPr>
    </w:p>
    <w:p>
      <w:pPr>
        <w:pStyle w:val="Heading2"/>
        <w:jc w:val="both"/>
      </w:pPr>
      <w:r>
        <w:rPr/>
        <w:t>Article 4 - Montant du loyer</w:t>
      </w:r>
    </w:p>
    <w:p>
      <w:pPr>
        <w:spacing w:line="276" w:lineRule="auto" w:before="201"/>
        <w:ind w:left="143" w:right="136" w:firstLine="0"/>
        <w:jc w:val="both"/>
        <w:rPr>
          <w:sz w:val="22"/>
        </w:rPr>
      </w:pPr>
      <w:r>
        <w:rPr>
          <w:sz w:val="22"/>
        </w:rPr>
        <w:t>Le présent bail est consenti et accepté moyennant un loyer annuel principal de SOIXANTE-DOUZE MILLE EUROS (72 000 €) hors taxes et hors charges, payable mensuellement et d'avance, soit la somme de SIX MILLE EUROS (6 000 €) HT par mois.</w:t>
      </w:r>
    </w:p>
    <w:p>
      <w:pPr>
        <w:pStyle w:val="BodyText"/>
        <w:spacing w:line="276" w:lineRule="auto"/>
        <w:ind w:left="143" w:right="146"/>
        <w:jc w:val="both"/>
      </w:pPr>
      <w:r>
        <w:rPr/>
        <w:t>Le loyer sera payable le premier jour de chaque mois, par virement bancaire sur le compte désigné par le &lt;PERSON&gt; ou par tout autre moyen de paiement agréé par celui-ci.</w:t>
      </w:r>
    </w:p>
    <w:p>
      <w:pPr>
        <w:pStyle w:val="BodyText"/>
        <w:spacing w:before="147"/>
      </w:pPr>
    </w:p>
    <w:p>
      <w:pPr>
        <w:pStyle w:val="Heading2"/>
        <w:jc w:val="both"/>
      </w:pPr>
      <w:r>
        <w:rPr/>
        <w:t>Article 5 - TVA</w:t>
      </w:r>
    </w:p>
    <w:p>
      <w:pPr>
        <w:pStyle w:val="BodyText"/>
        <w:spacing w:line="276" w:lineRule="auto" w:before="199"/>
        <w:ind w:left="143" w:right="138"/>
        <w:jc w:val="both"/>
      </w:pPr>
      <w:r>
        <w:rPr/>
        <w:t>&lt;JOB_TITLE&gt; ayant opté pour l'assujettissement à la TVA conformément à l'article 260-2° du Code général des impôts, le loyer sera majoré de la TVA au taux en vigueur, actuellement de 20%, soit un loyer mensuel TTC de 7 200 € (sept mille deux cents euros).</w:t>
      </w:r>
    </w:p>
    <w:p>
      <w:pPr>
        <w:pStyle w:val="BodyText"/>
        <w:spacing w:before="146"/>
      </w:pPr>
    </w:p>
    <w:p>
      <w:pPr>
        <w:pStyle w:val="Heading2"/>
        <w:spacing w:before="1"/>
        <w:jc w:val="both"/>
      </w:pPr>
      <w:r>
        <w:rPr/>
        <w:t>Article 6 - Révision du loyer</w:t>
      </w:r>
    </w:p>
    <w:p>
      <w:pPr>
        <w:pStyle w:val="Heading2"/>
        <w:spacing w:after="0"/>
        <w:jc w:val="both"/>
        <w:sectPr>
          <w:pgSz w:w="11910" w:h="16840"/>
          <w:pgMar w:header="715" w:footer="704" w:top="1040" w:bottom="900" w:left="1275" w:right="992"/>
        </w:sectPr>
      </w:pPr>
    </w:p>
    <w:p>
      <w:pPr>
        <w:spacing w:line="278" w:lineRule="auto" w:before="81"/>
        <w:ind w:left="143" w:right="113" w:firstLine="0"/>
        <w:jc w:val="left"/>
        <w:rPr>
          <w:sz w:val="22"/>
        </w:rPr>
      </w:pPr>
      <w:r>
        <w:rPr>
          <w:sz w:val="22"/>
        </w:rPr>
        <w:t>Le loyer sera révisé de plein droit chaque année à la date anniversaire du bail, en fonction de la variation de l'Indice des Loyers Commerciaux (ILC) publié par l'&lt;ORGANIZATION&gt;.</w:t>
      </w:r>
    </w:p>
    <w:p>
      <w:pPr>
        <w:pStyle w:val="BodyText"/>
        <w:spacing w:line="465" w:lineRule="auto" w:before="196"/>
        <w:ind w:left="143" w:right="412"/>
      </w:pPr>
      <w:r>
        <w:rPr/>
        <w:t>L'indice de référence est celui du 4ème trimestre 2023, soit 132,63 (base 100 au 1er trimestre 2008). La formule de révision applicable sera la suivante :</w:t>
      </w:r>
    </w:p>
    <w:p>
      <w:pPr>
        <w:tabs>
          <w:tab w:pos="1708" w:val="left" w:leader="none"/>
          <w:tab w:pos="9526" w:val="left" w:leader="none"/>
        </w:tabs>
        <w:spacing w:before="0"/>
        <w:ind w:left="115" w:right="0" w:firstLine="0"/>
        <w:jc w:val="left"/>
        <w:rPr>
          <w:i/>
          <w:sz w:val="22"/>
        </w:rPr>
      </w:pPr>
      <w:r>
        <w:rPr>
          <w:i/>
          <w:color w:val="000000"/>
          <w:sz w:val="22"/>
          <w:shd w:fill="F5F5F5" w:color="auto" w:val="clear"/>
        </w:rPr>
        <w:t xml:space="preserve">	Loyer révisé = Loyer en cours × (Nouvel indice ÷ Indice de référence)	</w:t>
      </w:r>
    </w:p>
    <w:p>
      <w:pPr>
        <w:pStyle w:val="BodyText"/>
        <w:spacing w:before="147"/>
        <w:rPr>
          <w:i/>
        </w:rPr>
      </w:pPr>
    </w:p>
    <w:p>
      <w:pPr>
        <w:pStyle w:val="Heading2"/>
      </w:pPr>
      <w:r>
        <w:rPr/>
        <w:t>Article 7 - Charges et prestations</w:t>
      </w:r>
    </w:p>
    <w:p>
      <w:pPr>
        <w:pStyle w:val="BodyText"/>
        <w:spacing w:line="276" w:lineRule="auto"/>
        <w:ind w:left="143" w:right="141"/>
        <w:jc w:val="both"/>
      </w:pPr>
      <w:r>
        <w:rPr/>
        <w:t>Outre le loyer, le &lt;PERSON&gt; remboursera au &lt;PERSON&gt; sa quote-part des charges de copropriété, comprenant notamment :</w:t>
      </w:r>
    </w:p>
    <w:p>
      <w:pPr>
        <w:pStyle w:val="ListParagraph"/>
        <w:numPr>
          <w:ilvl w:val="0"/>
          <w:numId w:val="1"/>
        </w:numPr>
        <w:tabs>
          <w:tab w:pos="989" w:val="left" w:leader="none"/>
        </w:tabs>
        <w:spacing w:line="240" w:lineRule="auto" w:before="201" w:after="0"/>
        <w:ind w:left="989" w:right="0" w:hanging="126"/>
        <w:jc w:val="left"/>
        <w:rPr>
          <w:sz w:val="22"/>
        </w:rPr>
      </w:pPr>
      <w:r>
        <w:rPr>
          <w:sz w:val="22"/>
        </w:rPr>
        <w:t>Les charges communes générales de l'immeuble</w:t>
      </w:r>
    </w:p>
    <w:p>
      <w:pPr>
        <w:pStyle w:val="ListParagraph"/>
        <w:numPr>
          <w:ilvl w:val="0"/>
          <w:numId w:val="1"/>
        </w:numPr>
        <w:tabs>
          <w:tab w:pos="989" w:val="left" w:leader="none"/>
        </w:tabs>
        <w:spacing w:line="240" w:lineRule="auto" w:before="237" w:after="0"/>
        <w:ind w:left="989" w:right="0" w:hanging="126"/>
        <w:jc w:val="left"/>
        <w:rPr>
          <w:sz w:val="22"/>
        </w:rPr>
      </w:pPr>
      <w:r>
        <w:rPr>
          <w:sz w:val="22"/>
        </w:rPr>
        <w:t>&lt;ORGANIZATION&gt;</w:t>
      </w:r>
    </w:p>
    <w:p>
      <w:pPr>
        <w:pStyle w:val="ListParagraph"/>
        <w:numPr>
          <w:ilvl w:val="0"/>
          <w:numId w:val="1"/>
        </w:numPr>
        <w:tabs>
          <w:tab w:pos="989" w:val="left" w:leader="none"/>
        </w:tabs>
        <w:spacing w:line="240" w:lineRule="auto" w:before="239" w:after="0"/>
        <w:ind w:left="989" w:right="0" w:hanging="126"/>
        <w:jc w:val="left"/>
        <w:rPr>
          <w:sz w:val="22"/>
        </w:rPr>
      </w:pPr>
      <w:r>
        <w:rPr>
          <w:sz w:val="22"/>
        </w:rPr>
        <w:t>&lt;ORGANIZATION&gt;</w:t>
      </w:r>
    </w:p>
    <w:p>
      <w:pPr>
        <w:pStyle w:val="ListParagraph"/>
        <w:numPr>
          <w:ilvl w:val="0"/>
          <w:numId w:val="1"/>
        </w:numPr>
        <w:tabs>
          <w:tab w:pos="989" w:val="left" w:leader="none"/>
        </w:tabs>
        <w:spacing w:line="240" w:lineRule="auto" w:before="237" w:after="0"/>
        <w:ind w:left="989" w:right="0" w:hanging="126"/>
        <w:jc w:val="left"/>
        <w:rPr>
          <w:sz w:val="22"/>
        </w:rPr>
      </w:pPr>
      <w:r>
        <w:rPr>
          <w:sz w:val="22"/>
        </w:rPr>
        <w:t>&lt;ORGANIZATION&gt;</w:t>
      </w:r>
    </w:p>
    <w:p>
      <w:pPr>
        <w:pStyle w:val="ListParagraph"/>
        <w:numPr>
          <w:ilvl w:val="0"/>
          <w:numId w:val="1"/>
        </w:numPr>
        <w:tabs>
          <w:tab w:pos="989" w:val="left" w:leader="none"/>
        </w:tabs>
        <w:spacing w:line="240" w:lineRule="auto" w:before="239" w:after="0"/>
        <w:ind w:left="989" w:right="0" w:hanging="126"/>
        <w:jc w:val="left"/>
        <w:rPr>
          <w:sz w:val="22"/>
        </w:rPr>
      </w:pPr>
      <w:r>
        <w:rPr>
          <w:sz w:val="22"/>
        </w:rPr>
        <w:t>Les frais de gestion du syndic</w:t>
      </w:r>
    </w:p>
    <w:p>
      <w:pPr>
        <w:pStyle w:val="BodyText"/>
        <w:spacing w:before="237"/>
        <w:ind w:left="143"/>
      </w:pPr>
      <w:r>
        <w:rPr/>
        <w:t>La provision pour charges est fixée à 450 € HT par mois, soit 540 € TTC, régularisable annuellement sur</w:t>
      </w:r>
    </w:p>
    <w:p>
      <w:pPr>
        <w:pStyle w:val="BodyText"/>
        <w:spacing w:before="39"/>
        <w:ind w:left="143"/>
      </w:pPr>
      <w:r>
        <w:rPr/>
        <w:t>présentation des justificatifs.</w:t>
      </w:r>
    </w:p>
    <w:p>
      <w:pPr>
        <w:pStyle w:val="BodyText"/>
        <w:spacing w:before="184"/>
      </w:pPr>
    </w:p>
    <w:p>
      <w:pPr>
        <w:pStyle w:val="Heading2"/>
      </w:pPr>
      <w:r>
        <w:rPr/>
        <w:t>Article 8 - Dépôt de garantie</w:t>
      </w:r>
    </w:p>
    <w:p>
      <w:pPr>
        <w:pStyle w:val="BodyText"/>
        <w:ind w:left="143"/>
      </w:pPr>
      <w:r>
        <w:rPr/>
        <w:t>À titre de garantie de l'exécution de ses obligations, le &lt;PERSON&gt; verse ce jour au &lt;JOB_TITLE&gt; une somme de</w:t>
      </w:r>
    </w:p>
    <w:p>
      <w:pPr>
        <w:spacing w:before="38"/>
        <w:ind w:left="143" w:right="0" w:firstLine="0"/>
        <w:jc w:val="left"/>
        <w:rPr>
          <w:sz w:val="22"/>
        </w:rPr>
      </w:pPr>
      <w:r>
        <w:rPr>
          <w:b/>
          <w:sz w:val="22"/>
        </w:rPr>
        <w:t>DOUZE MILLE EUROS (12 000 €) correspondant à deux mois de loyer hors taxes.</w:t>
      </w:r>
    </w:p>
    <w:p>
      <w:pPr>
        <w:pStyle w:val="BodyText"/>
        <w:spacing w:line="276" w:lineRule="auto" w:before="239"/>
        <w:ind w:left="143" w:right="143"/>
        <w:jc w:val="both"/>
      </w:pPr>
      <w:r>
        <w:rPr/>
        <w:t>Ce dépôt de garantie ne portera pas intérêts au profit du &lt;PERSON&gt;. Il sera restitué en fin de bail, déduction faite des sommes dont le &lt;PERSON&gt; pourrait être redevable au titre du présent bail, dans un délai de deux mois suivant la remise des clés.</w:t>
      </w:r>
    </w:p>
    <w:p>
      <w:pPr>
        <w:pStyle w:val="BodyText"/>
        <w:spacing w:after="0" w:line="276" w:lineRule="auto"/>
        <w:jc w:val="both"/>
        <w:sectPr>
          <w:pgSz w:w="11910" w:h="16840"/>
          <w:pgMar w:header="715" w:footer="704" w:top="1040" w:bottom="900" w:left="1275" w:right="992"/>
        </w:sectPr>
      </w:pPr>
    </w:p>
    <w:p>
      <w:pPr>
        <w:pStyle w:val="Heading1"/>
        <w:spacing w:before="82"/>
        <w:rPr>
          <w:u w:val="none"/>
        </w:rPr>
      </w:pPr>
      <w:r>
        <w:rPr>
          <w:u w:val="single"/>
        </w:rPr>
        <w:t>TITRE IV - DESTINATION DES LOCAUX</w:t>
      </w:r>
    </w:p>
    <w:p>
      <w:pPr>
        <w:pStyle w:val="BodyText"/>
        <w:spacing w:before="123"/>
        <w:rPr>
          <w:b/>
          <w:sz w:val="24"/>
        </w:rPr>
      </w:pPr>
    </w:p>
    <w:p>
      <w:pPr>
        <w:pStyle w:val="Heading2"/>
      </w:pPr>
      <w:r>
        <w:rPr/>
        <w:t>Article 9 - Destination</w:t>
      </w:r>
    </w:p>
    <w:p>
      <w:pPr>
        <w:pStyle w:val="BodyText"/>
        <w:spacing w:before="202"/>
        <w:ind w:left="143"/>
      </w:pPr>
      <w:r>
        <w:rPr/>
        <w:t>&lt;ORGANIZATION&gt; sont loués exclusivement à usage de :</w:t>
      </w:r>
    </w:p>
    <w:p>
      <w:pPr>
        <w:pStyle w:val="BodyText"/>
        <w:spacing w:before="6"/>
        <w:rPr>
          <w:sz w:val="18"/>
        </w:rPr>
      </w:pPr>
      <w:r>
        <w:rPr>
          <w:sz w:val="18"/>
        </w:rPr>
        <mc:AlternateContent>
          <mc:Choice Requires="wps">
            <w:drawing>
              <wp:anchor distT="0" distB="0" distL="0" distR="0" allowOverlap="1" layoutInCell="1" locked="0" behindDoc="1" simplePos="0" relativeHeight="487587840">
                <wp:simplePos x="0" y="0"/>
                <wp:positionH relativeFrom="page">
                  <wp:posOffset>882700</wp:posOffset>
                </wp:positionH>
                <wp:positionV relativeFrom="paragraph">
                  <wp:posOffset>151035</wp:posOffset>
                </wp:positionV>
                <wp:extent cx="5976620" cy="463550"/>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5976620" cy="463550"/>
                        </a:xfrm>
                        <a:prstGeom prst="rect">
                          <a:avLst/>
                        </a:prstGeom>
                        <a:solidFill>
                          <a:srgbClr val="E8F4F8"/>
                        </a:solidFill>
                      </wps:spPr>
                      <wps:txbx>
                        <w:txbxContent>
                          <w:p>
                            <w:pPr>
                              <w:spacing w:line="275" w:lineRule="exact" w:before="0"/>
                              <w:ind w:left="0" w:right="2" w:firstLine="0"/>
                              <w:jc w:val="center"/>
                              <w:rPr>
                                <w:b/>
                                <w:color w:val="000000"/>
                                <w:sz w:val="24"/>
                              </w:rPr>
                            </w:pPr>
                            <w:r>
                              <w:rPr>
                                <w:b/>
                                <w:color w:val="000000"/>
                                <w:sz w:val="24"/>
                              </w:rPr>
                              <w:t>«</w:t>
                            </w:r>
                            <w:r>
                              <w:rPr>
                                <w:b/>
                                <w:color w:val="000000"/>
                                <w:spacing w:val="-3"/>
                                <w:sz w:val="24"/>
                              </w:rPr>
                              <w:t> </w:t>
                            </w:r>
                            <w:r>
                              <w:rPr>
                                <w:b/>
                                <w:color w:val="000000"/>
                                <w:sz w:val="24"/>
                              </w:rPr>
                              <w:t>BOULANGERIE</w:t>
                            </w:r>
                            <w:r>
                              <w:rPr>
                                <w:b/>
                                <w:color w:val="000000"/>
                                <w:spacing w:val="-1"/>
                                <w:sz w:val="24"/>
                              </w:rPr>
                              <w:t> </w:t>
                            </w:r>
                            <w:r>
                              <w:rPr>
                                <w:b/>
                                <w:color w:val="000000"/>
                                <w:sz w:val="24"/>
                              </w:rPr>
                              <w:t>-</w:t>
                            </w:r>
                            <w:r>
                              <w:rPr>
                                <w:b/>
                                <w:color w:val="000000"/>
                                <w:spacing w:val="-4"/>
                                <w:sz w:val="24"/>
                              </w:rPr>
                              <w:t> </w:t>
                            </w:r>
                            <w:r>
                              <w:rPr>
                                <w:b/>
                                <w:color w:val="000000"/>
                                <w:sz w:val="24"/>
                              </w:rPr>
                              <w:t>PÂTISSERIE</w:t>
                            </w:r>
                            <w:r>
                              <w:rPr>
                                <w:b/>
                                <w:color w:val="000000"/>
                                <w:spacing w:val="-2"/>
                                <w:sz w:val="24"/>
                              </w:rPr>
                              <w:t> </w:t>
                            </w:r>
                            <w:r>
                              <w:rPr>
                                <w:b/>
                                <w:color w:val="000000"/>
                                <w:sz w:val="24"/>
                              </w:rPr>
                              <w:t>ARTISANALE</w:t>
                            </w:r>
                            <w:r>
                              <w:rPr>
                                <w:b/>
                                <w:color w:val="000000"/>
                                <w:spacing w:val="-2"/>
                                <w:sz w:val="24"/>
                              </w:rPr>
                              <w:t> </w:t>
                            </w:r>
                            <w:r>
                              <w:rPr>
                                <w:b/>
                                <w:color w:val="000000"/>
                                <w:spacing w:val="-10"/>
                                <w:sz w:val="24"/>
                              </w:rPr>
                              <w:t>»</w:t>
                            </w:r>
                          </w:p>
                          <w:p>
                            <w:pPr>
                              <w:pStyle w:val="BodyText"/>
                              <w:ind w:right="2"/>
                              <w:jc w:val="center"/>
                              <w:rPr>
                                <w:color w:val="000000"/>
                              </w:rPr>
                            </w:pPr>
                            <w:r>
                              <w:rPr>
                                <w:color w:val="000000"/>
                              </w:rPr>
                              <w:t>avec</w:t>
                            </w:r>
                            <w:r>
                              <w:rPr>
                                <w:color w:val="000000"/>
                                <w:spacing w:val="-4"/>
                              </w:rPr>
                              <w:t> </w:t>
                            </w:r>
                            <w:r>
                              <w:rPr>
                                <w:color w:val="000000"/>
                              </w:rPr>
                              <w:t>vente</w:t>
                            </w:r>
                            <w:r>
                              <w:rPr>
                                <w:color w:val="000000"/>
                                <w:spacing w:val="-3"/>
                              </w:rPr>
                              <w:t> </w:t>
                            </w:r>
                            <w:r>
                              <w:rPr>
                                <w:color w:val="000000"/>
                              </w:rPr>
                              <w:t>de</w:t>
                            </w:r>
                            <w:r>
                              <w:rPr>
                                <w:color w:val="000000"/>
                                <w:spacing w:val="-4"/>
                              </w:rPr>
                              <w:t> </w:t>
                            </w:r>
                            <w:r>
                              <w:rPr>
                                <w:color w:val="000000"/>
                              </w:rPr>
                              <w:t>produits</w:t>
                            </w:r>
                            <w:r>
                              <w:rPr>
                                <w:color w:val="000000"/>
                                <w:spacing w:val="-3"/>
                              </w:rPr>
                              <w:t> </w:t>
                            </w:r>
                            <w:r>
                              <w:rPr>
                                <w:color w:val="000000"/>
                              </w:rPr>
                              <w:t>alimentaires,</w:t>
                            </w:r>
                            <w:r>
                              <w:rPr>
                                <w:color w:val="000000"/>
                                <w:spacing w:val="-4"/>
                              </w:rPr>
                              <w:t> </w:t>
                            </w:r>
                            <w:r>
                              <w:rPr>
                                <w:color w:val="000000"/>
                              </w:rPr>
                              <w:t>salon</w:t>
                            </w:r>
                            <w:r>
                              <w:rPr>
                                <w:color w:val="000000"/>
                                <w:spacing w:val="-3"/>
                              </w:rPr>
                              <w:t> </w:t>
                            </w:r>
                            <w:r>
                              <w:rPr>
                                <w:color w:val="000000"/>
                              </w:rPr>
                              <w:t>de</w:t>
                            </w:r>
                            <w:r>
                              <w:rPr>
                                <w:color w:val="000000"/>
                                <w:spacing w:val="-5"/>
                              </w:rPr>
                              <w:t> </w:t>
                            </w:r>
                            <w:r>
                              <w:rPr>
                                <w:color w:val="000000"/>
                              </w:rPr>
                              <w:t>thé</w:t>
                            </w:r>
                            <w:r>
                              <w:rPr>
                                <w:color w:val="000000"/>
                                <w:spacing w:val="-6"/>
                              </w:rPr>
                              <w:t> </w:t>
                            </w:r>
                            <w:r>
                              <w:rPr>
                                <w:color w:val="000000"/>
                              </w:rPr>
                              <w:t>et</w:t>
                            </w:r>
                            <w:r>
                              <w:rPr>
                                <w:color w:val="000000"/>
                                <w:spacing w:val="-2"/>
                              </w:rPr>
                              <w:t> </w:t>
                            </w:r>
                            <w:r>
                              <w:rPr>
                                <w:color w:val="000000"/>
                              </w:rPr>
                              <w:t>petite</w:t>
                            </w:r>
                            <w:r>
                              <w:rPr>
                                <w:color w:val="000000"/>
                                <w:spacing w:val="-3"/>
                              </w:rPr>
                              <w:t> </w:t>
                            </w:r>
                            <w:r>
                              <w:rPr>
                                <w:color w:val="000000"/>
                                <w:spacing w:val="-2"/>
                              </w:rPr>
                              <w:t>restauration</w:t>
                            </w:r>
                          </w:p>
                        </w:txbxContent>
                      </wps:txbx>
                      <wps:bodyPr wrap="square" lIns="0" tIns="0" rIns="0" bIns="0" rtlCol="0">
                        <a:noAutofit/>
                      </wps:bodyPr>
                    </wps:wsp>
                  </a:graphicData>
                </a:graphic>
              </wp:anchor>
            </w:drawing>
          </mc:Choice>
          <mc:Fallback>
            <w:pict>
              <v:shape style="position:absolute;margin-left:69.503998pt;margin-top:11.892578pt;width:470.6pt;height:36.5pt;mso-position-horizontal-relative:page;mso-position-vertical-relative:paragraph;z-index:-15728640;mso-wrap-distance-left:0;mso-wrap-distance-right:0" type="#_x0000_t202" id="docshape3" filled="true" fillcolor="#e8f4f8" stroked="false">
                <v:textbox inset="0,0,0,0">
                  <w:txbxContent>
                    <w:p>
                      <w:pPr>
                        <w:spacing w:line="275" w:lineRule="exact" w:before="0"/>
                        <w:ind w:left="0" w:right="2" w:firstLine="0"/>
                        <w:jc w:val="center"/>
                        <w:rPr>
                          <w:b/>
                          <w:color w:val="000000"/>
                          <w:sz w:val="24"/>
                        </w:rPr>
                      </w:pPr>
                      <w:r>
                        <w:rPr>
                          <w:b/>
                          <w:color w:val="000000"/>
                          <w:sz w:val="24"/>
                        </w:rPr>
                        <w:t>«</w:t>
                      </w:r>
                      <w:r>
                        <w:rPr>
                          <w:b/>
                          <w:color w:val="000000"/>
                          <w:spacing w:val="-3"/>
                          <w:sz w:val="24"/>
                        </w:rPr>
                        <w:t> </w:t>
                      </w:r>
                      <w:r>
                        <w:rPr>
                          <w:b/>
                          <w:color w:val="000000"/>
                          <w:sz w:val="24"/>
                        </w:rPr>
                        <w:t>BOULANGERIE</w:t>
                      </w:r>
                      <w:r>
                        <w:rPr>
                          <w:b/>
                          <w:color w:val="000000"/>
                          <w:spacing w:val="-1"/>
                          <w:sz w:val="24"/>
                        </w:rPr>
                        <w:t> </w:t>
                      </w:r>
                      <w:r>
                        <w:rPr>
                          <w:b/>
                          <w:color w:val="000000"/>
                          <w:sz w:val="24"/>
                        </w:rPr>
                        <w:t>-</w:t>
                      </w:r>
                      <w:r>
                        <w:rPr>
                          <w:b/>
                          <w:color w:val="000000"/>
                          <w:spacing w:val="-4"/>
                          <w:sz w:val="24"/>
                        </w:rPr>
                        <w:t> </w:t>
                      </w:r>
                      <w:r>
                        <w:rPr>
                          <w:b/>
                          <w:color w:val="000000"/>
                          <w:sz w:val="24"/>
                        </w:rPr>
                        <w:t>PÂTISSERIE</w:t>
                      </w:r>
                      <w:r>
                        <w:rPr>
                          <w:b/>
                          <w:color w:val="000000"/>
                          <w:spacing w:val="-2"/>
                          <w:sz w:val="24"/>
                        </w:rPr>
                        <w:t> </w:t>
                      </w:r>
                      <w:r>
                        <w:rPr>
                          <w:b/>
                          <w:color w:val="000000"/>
                          <w:sz w:val="24"/>
                        </w:rPr>
                        <w:t>ARTISANALE</w:t>
                      </w:r>
                      <w:r>
                        <w:rPr>
                          <w:b/>
                          <w:color w:val="000000"/>
                          <w:spacing w:val="-2"/>
                          <w:sz w:val="24"/>
                        </w:rPr>
                        <w:t> </w:t>
                      </w:r>
                      <w:r>
                        <w:rPr>
                          <w:b/>
                          <w:color w:val="000000"/>
                          <w:spacing w:val="-10"/>
                          <w:sz w:val="24"/>
                        </w:rPr>
                        <w:t>»</w:t>
                      </w:r>
                    </w:p>
                    <w:p>
                      <w:pPr>
                        <w:pStyle w:val="BodyText"/>
                        <w:ind w:right="2"/>
                        <w:jc w:val="center"/>
                        <w:rPr>
                          <w:color w:val="000000"/>
                        </w:rPr>
                      </w:pPr>
                      <w:r>
                        <w:rPr>
                          <w:color w:val="000000"/>
                        </w:rPr>
                        <w:t>avec</w:t>
                      </w:r>
                      <w:r>
                        <w:rPr>
                          <w:color w:val="000000"/>
                          <w:spacing w:val="-4"/>
                        </w:rPr>
                        <w:t> </w:t>
                      </w:r>
                      <w:r>
                        <w:rPr>
                          <w:color w:val="000000"/>
                        </w:rPr>
                        <w:t>vente</w:t>
                      </w:r>
                      <w:r>
                        <w:rPr>
                          <w:color w:val="000000"/>
                          <w:spacing w:val="-3"/>
                        </w:rPr>
                        <w:t> </w:t>
                      </w:r>
                      <w:r>
                        <w:rPr>
                          <w:color w:val="000000"/>
                        </w:rPr>
                        <w:t>de</w:t>
                      </w:r>
                      <w:r>
                        <w:rPr>
                          <w:color w:val="000000"/>
                          <w:spacing w:val="-4"/>
                        </w:rPr>
                        <w:t> </w:t>
                      </w:r>
                      <w:r>
                        <w:rPr>
                          <w:color w:val="000000"/>
                        </w:rPr>
                        <w:t>produits</w:t>
                      </w:r>
                      <w:r>
                        <w:rPr>
                          <w:color w:val="000000"/>
                          <w:spacing w:val="-3"/>
                        </w:rPr>
                        <w:t> </w:t>
                      </w:r>
                      <w:r>
                        <w:rPr>
                          <w:color w:val="000000"/>
                        </w:rPr>
                        <w:t>alimentaires,</w:t>
                      </w:r>
                      <w:r>
                        <w:rPr>
                          <w:color w:val="000000"/>
                          <w:spacing w:val="-4"/>
                        </w:rPr>
                        <w:t> </w:t>
                      </w:r>
                      <w:r>
                        <w:rPr>
                          <w:color w:val="000000"/>
                        </w:rPr>
                        <w:t>salon</w:t>
                      </w:r>
                      <w:r>
                        <w:rPr>
                          <w:color w:val="000000"/>
                          <w:spacing w:val="-3"/>
                        </w:rPr>
                        <w:t> </w:t>
                      </w:r>
                      <w:r>
                        <w:rPr>
                          <w:color w:val="000000"/>
                        </w:rPr>
                        <w:t>de</w:t>
                      </w:r>
                      <w:r>
                        <w:rPr>
                          <w:color w:val="000000"/>
                          <w:spacing w:val="-5"/>
                        </w:rPr>
                        <w:t> </w:t>
                      </w:r>
                      <w:r>
                        <w:rPr>
                          <w:color w:val="000000"/>
                        </w:rPr>
                        <w:t>thé</w:t>
                      </w:r>
                      <w:r>
                        <w:rPr>
                          <w:color w:val="000000"/>
                          <w:spacing w:val="-6"/>
                        </w:rPr>
                        <w:t> </w:t>
                      </w:r>
                      <w:r>
                        <w:rPr>
                          <w:color w:val="000000"/>
                        </w:rPr>
                        <w:t>et</w:t>
                      </w:r>
                      <w:r>
                        <w:rPr>
                          <w:color w:val="000000"/>
                          <w:spacing w:val="-2"/>
                        </w:rPr>
                        <w:t> </w:t>
                      </w:r>
                      <w:r>
                        <w:rPr>
                          <w:color w:val="000000"/>
                        </w:rPr>
                        <w:t>petite</w:t>
                      </w:r>
                      <w:r>
                        <w:rPr>
                          <w:color w:val="000000"/>
                          <w:spacing w:val="-3"/>
                        </w:rPr>
                        <w:t> </w:t>
                      </w:r>
                      <w:r>
                        <w:rPr>
                          <w:color w:val="000000"/>
                          <w:spacing w:val="-2"/>
                        </w:rPr>
                        <w:t>restauration</w:t>
                      </w:r>
                    </w:p>
                  </w:txbxContent>
                </v:textbox>
                <v:fill type="solid"/>
                <w10:wrap type="topAndBottom"/>
              </v:shape>
            </w:pict>
          </mc:Fallback>
        </mc:AlternateContent>
      </w:r>
    </w:p>
    <w:p>
      <w:pPr>
        <w:pStyle w:val="BodyText"/>
        <w:spacing w:line="276" w:lineRule="auto" w:before="200"/>
        <w:ind w:left="143" w:right="146"/>
        <w:jc w:val="both"/>
      </w:pPr>
      <w:r>
        <w:rPr/>
        <w:t>&lt;PERSON&gt; s'engage à ne pas modifier cette destination sans l'accord préalable et écrit du &lt;PERSON&gt;. Toute adjonction ou modification d'activité non expressément autorisée constituera une infraction au bail.</w:t>
      </w:r>
    </w:p>
    <w:p>
      <w:pPr>
        <w:pStyle w:val="BodyText"/>
        <w:spacing w:before="145"/>
      </w:pPr>
    </w:p>
    <w:p>
      <w:pPr>
        <w:pStyle w:val="Heading2"/>
        <w:jc w:val="both"/>
      </w:pPr>
      <w:r>
        <w:rPr/>
        <w:t>Article 10 - Clause d'enseigne</w:t>
      </w:r>
    </w:p>
    <w:p>
      <w:pPr>
        <w:pStyle w:val="BodyText"/>
        <w:spacing w:line="276" w:lineRule="auto" w:before="202"/>
        <w:ind w:left="143" w:right="139"/>
        <w:jc w:val="both"/>
      </w:pPr>
      <w:r>
        <w:rPr/>
        <w:t>&lt;PERSON&gt; aura le droit d'apposer sur la façade des locaux une &lt;ORGANIZATION&gt; indiquant son activité commerciale, sous réserve d'obtenir toutes les autorisations administratives nécessaires et de respecter le règlement de copropriété de l'immeuble.</w:t>
      </w:r>
    </w:p>
    <w:p>
      <w:pPr>
        <w:pStyle w:val="BodyText"/>
        <w:spacing w:before="48"/>
      </w:pPr>
    </w:p>
    <w:p>
      <w:pPr>
        <w:pStyle w:val="Heading1"/>
        <w:ind w:left="4"/>
        <w:rPr>
          <w:u w:val="none"/>
        </w:rPr>
      </w:pPr>
      <w:r>
        <w:rPr>
          <w:u w:val="single"/>
        </w:rPr>
        <w:t>TITRE V - CONDITIONS GÉNÉRALES</w:t>
      </w:r>
    </w:p>
    <w:p>
      <w:pPr>
        <w:pStyle w:val="BodyText"/>
        <w:spacing w:before="123"/>
        <w:rPr>
          <w:b/>
          <w:sz w:val="24"/>
        </w:rPr>
      </w:pPr>
    </w:p>
    <w:p>
      <w:pPr>
        <w:pStyle w:val="Heading2"/>
      </w:pPr>
      <w:r>
        <w:rPr/>
        <w:t>Article 11 - Obligations du Preneur</w:t>
      </w:r>
    </w:p>
    <w:p>
      <w:pPr>
        <w:pStyle w:val="BodyText"/>
        <w:spacing w:before="199"/>
        <w:ind w:left="143"/>
      </w:pPr>
      <w:r>
        <w:rPr/>
        <w:t>Le Preneur s'oblige à :</w:t>
      </w:r>
    </w:p>
    <w:p>
      <w:pPr>
        <w:pStyle w:val="BodyText"/>
        <w:spacing w:line="465" w:lineRule="auto" w:before="239"/>
        <w:ind w:left="503" w:right="2203"/>
      </w:pPr>
      <w:r>
        <w:rPr/>
        <w:t>1° Payer exactement aux termes convenus les loyers, charges et accessoires ; 2° User des locaux en bon père de famille et conformément à leur destination ; 3° Entretenir les locaux et les maintenir en bon état de réparations locatives ;</w:t>
      </w:r>
    </w:p>
    <w:p>
      <w:pPr>
        <w:pStyle w:val="BodyText"/>
        <w:spacing w:before="2"/>
        <w:ind w:left="503"/>
      </w:pPr>
      <w:r>
        <w:rPr/>
        <w:t>4° Ne faire aucune modification des locaux sans l'autorisation écrite du &lt;PERSON&gt; ;</w:t>
      </w:r>
    </w:p>
    <w:p>
      <w:pPr>
        <w:pStyle w:val="BodyText"/>
        <w:spacing w:line="465" w:lineRule="auto" w:before="236"/>
        <w:ind w:left="503" w:right="1598"/>
      </w:pPr>
      <w:r>
        <w:rPr/>
        <w:t>5° Laisser &lt;PERSON&gt; ou son mandataire visiter les locaux au moins une fois par an ; 6° Informer immédiatement &lt;PERSON&gt; de tout sinistre ou dégradation ;</w:t>
      </w:r>
    </w:p>
    <w:p>
      <w:pPr>
        <w:pStyle w:val="BodyText"/>
        <w:spacing w:before="0"/>
        <w:ind w:left="503"/>
      </w:pPr>
      <w:r>
        <w:rPr/>
        <w:t>7° Respecter le règlement de copropriété dont il déclare avoir pris connaissance ;</w:t>
      </w:r>
    </w:p>
    <w:p>
      <w:pPr>
        <w:pStyle w:val="BodyText"/>
        <w:spacing w:before="239"/>
        <w:ind w:left="503"/>
      </w:pPr>
      <w:r>
        <w:rPr/>
        <w:t>8° Souscrire une &lt;ORGANIZATION&gt; couvrant les risques locatifs et la responsabilité civile professionnelle.</w:t>
      </w:r>
    </w:p>
    <w:p>
      <w:pPr>
        <w:pStyle w:val="BodyText"/>
        <w:spacing w:before="184"/>
      </w:pPr>
    </w:p>
    <w:p>
      <w:pPr>
        <w:pStyle w:val="Heading2"/>
      </w:pPr>
      <w:r>
        <w:rPr/>
        <w:t>Article 12 - Obligations du Bailleur</w:t>
      </w:r>
    </w:p>
    <w:p>
      <w:pPr>
        <w:pStyle w:val="BodyText"/>
        <w:ind w:left="143"/>
      </w:pPr>
      <w:r>
        <w:rPr/>
        <w:t>Le Bailleur s'oblige à :</w:t>
      </w:r>
    </w:p>
    <w:p>
      <w:pPr>
        <w:pStyle w:val="BodyText"/>
        <w:spacing w:before="239"/>
        <w:ind w:left="503"/>
      </w:pPr>
      <w:r>
        <w:rPr/>
        <w:t>1° Délivrer les locaux en bon état de réparations de toute espèce ;</w:t>
      </w:r>
    </w:p>
    <w:p>
      <w:pPr>
        <w:pStyle w:val="BodyText"/>
        <w:spacing w:line="465" w:lineRule="auto" w:before="237"/>
        <w:ind w:left="503" w:right="2065"/>
      </w:pPr>
      <w:r>
        <w:rPr/>
        <w:t>2° Entretenir les locaux en état de servir à l'usage pour lequel ils ont été loués ; 3° Assurer au &lt;PERSON&gt; une jouissance paisible des locaux ;</w:t>
      </w:r>
    </w:p>
    <w:p>
      <w:pPr>
        <w:pStyle w:val="BodyText"/>
        <w:spacing w:line="465" w:lineRule="auto" w:before="0"/>
        <w:ind w:left="503" w:right="1719"/>
      </w:pPr>
      <w:r>
        <w:rPr/>
        <w:t>4° Prendre en charge les grosses réparations au sens de l'article 606 du Code civil ; 5° Remettre au &lt;PERSON&gt; les quittances de loyer.</w:t>
      </w:r>
    </w:p>
    <w:p>
      <w:pPr>
        <w:pStyle w:val="BodyText"/>
        <w:spacing w:after="0" w:line="465" w:lineRule="auto"/>
        <w:sectPr>
          <w:pgSz w:w="11910" w:h="16840"/>
          <w:pgMar w:header="715" w:footer="704" w:top="1040" w:bottom="900" w:left="1275" w:right="992"/>
        </w:sectPr>
      </w:pPr>
    </w:p>
    <w:p>
      <w:pPr>
        <w:pStyle w:val="Heading2"/>
        <w:spacing w:before="82"/>
      </w:pPr>
      <w:r>
        <w:rPr/>
        <w:t>Article 13 - Travaux</w:t>
      </w:r>
    </w:p>
    <w:p>
      <w:pPr>
        <w:pStyle w:val="BodyText"/>
        <w:spacing w:line="276" w:lineRule="auto"/>
        <w:ind w:left="143" w:right="141"/>
        <w:jc w:val="both"/>
      </w:pPr>
      <w:r>
        <w:rPr>
          <w:b/>
        </w:rPr>
        <w:t>Travaux à la charge du &lt;PERSON&gt; : les grosses réparations (gros murs, voûtes, poutres, toiture, murs de soutènement), la mise aux normes de l'immeuble (sauf équipements propres à l'activité du Preneur), le ravalement des façades.</w:t>
      </w:r>
    </w:p>
    <w:p>
      <w:pPr>
        <w:pStyle w:val="BodyText"/>
        <w:spacing w:line="276" w:lineRule="auto" w:before="200"/>
        <w:ind w:left="143" w:right="141"/>
        <w:jc w:val="both"/>
      </w:pPr>
      <w:r>
        <w:rPr>
          <w:b/>
        </w:rPr>
        <w:t>Travaux à la charge du &lt;PERSON&gt; : les réparations locatives et d'entretien courant, les travaux d'aménagement liés à son activité, la mise aux normes spécifiques à son activité (hygiène, sécurité, accessibilité), l'entretien des équipements techniques (chauffage, climatisation, ventilation).</w:t>
      </w:r>
    </w:p>
    <w:p>
      <w:pPr>
        <w:pStyle w:val="BodyText"/>
        <w:spacing w:before="147"/>
      </w:pPr>
    </w:p>
    <w:p>
      <w:pPr>
        <w:pStyle w:val="Heading2"/>
      </w:pPr>
      <w:r>
        <w:rPr/>
        <w:t>Article 14 - Assurances</w:t>
      </w:r>
    </w:p>
    <w:p>
      <w:pPr>
        <w:pStyle w:val="BodyText"/>
        <w:spacing w:before="199"/>
        <w:ind w:left="143"/>
      </w:pPr>
      <w:r>
        <w:rPr/>
        <w:t>&lt;PERSON&gt; s'engage à souscrire et maintenir en vigueur pendant toute la durée du bail :</w:t>
      </w:r>
    </w:p>
    <w:p>
      <w:pPr>
        <w:pStyle w:val="ListParagraph"/>
        <w:numPr>
          <w:ilvl w:val="0"/>
          <w:numId w:val="2"/>
        </w:numPr>
        <w:tabs>
          <w:tab w:pos="641" w:val="left" w:leader="none"/>
        </w:tabs>
        <w:spacing w:line="276" w:lineRule="auto" w:before="239" w:after="0"/>
        <w:ind w:left="503" w:right="144" w:firstLine="0"/>
        <w:jc w:val="left"/>
        <w:rPr>
          <w:sz w:val="22"/>
        </w:rPr>
      </w:pPr>
      <w:r>
        <w:rPr>
          <w:sz w:val="22"/>
        </w:rPr>
        <w:t>&lt;ORGANIZATION&gt; couvrant les locaux loués contre les risques d'incendie, dégâts des eaux, explosion, vol et bris de glace ;</w:t>
      </w:r>
    </w:p>
    <w:p>
      <w:pPr>
        <w:pStyle w:val="ListParagraph"/>
        <w:numPr>
          <w:ilvl w:val="0"/>
          <w:numId w:val="2"/>
        </w:numPr>
        <w:tabs>
          <w:tab w:pos="629" w:val="left" w:leader="none"/>
        </w:tabs>
        <w:spacing w:line="240" w:lineRule="auto" w:before="201" w:after="0"/>
        <w:ind w:left="629" w:right="0" w:hanging="126"/>
        <w:jc w:val="left"/>
        <w:rPr>
          <w:sz w:val="22"/>
        </w:rPr>
      </w:pPr>
      <w:r>
        <w:rPr>
          <w:sz w:val="22"/>
        </w:rPr>
        <w:t>&lt;ORGANIZATION&gt; ;</w:t>
      </w:r>
    </w:p>
    <w:p>
      <w:pPr>
        <w:pStyle w:val="ListParagraph"/>
        <w:numPr>
          <w:ilvl w:val="0"/>
          <w:numId w:val="2"/>
        </w:numPr>
        <w:tabs>
          <w:tab w:pos="629" w:val="left" w:leader="none"/>
        </w:tabs>
        <w:spacing w:line="240" w:lineRule="auto" w:before="236" w:after="0"/>
        <w:ind w:left="629" w:right="0" w:hanging="126"/>
        <w:jc w:val="left"/>
        <w:rPr>
          <w:sz w:val="22"/>
        </w:rPr>
      </w:pPr>
      <w:r>
        <w:rPr>
          <w:sz w:val="22"/>
        </w:rPr>
        <w:t>Une assurance perte d'exploitation.</w:t>
      </w:r>
    </w:p>
    <w:p>
      <w:pPr>
        <w:pStyle w:val="BodyText"/>
        <w:spacing w:before="239"/>
        <w:ind w:left="143"/>
      </w:pPr>
      <w:r>
        <w:rPr/>
        <w:t>&lt;PERSON&gt; devra justifier du paiement des primes d'assurance à première demande du Bailleur.</w:t>
      </w:r>
    </w:p>
    <w:p>
      <w:pPr>
        <w:pStyle w:val="BodyText"/>
        <w:spacing w:before="184"/>
      </w:pPr>
    </w:p>
    <w:p>
      <w:pPr>
        <w:pStyle w:val="Heading2"/>
      </w:pPr>
      <w:r>
        <w:rPr/>
        <w:t>Article 15 - Sous-location et cession</w:t>
      </w:r>
    </w:p>
    <w:p>
      <w:pPr>
        <w:pStyle w:val="BodyText"/>
        <w:spacing w:line="276" w:lineRule="auto"/>
        <w:ind w:left="143" w:right="143"/>
        <w:jc w:val="both"/>
      </w:pPr>
      <w:r>
        <w:rPr>
          <w:b/>
        </w:rPr>
        <w:t>Sous-location : Toute sous-location totale ou partielle des locaux est formellement interdite, sauf autorisation préalable et écrite du &lt;PERSON&gt;.</w:t>
      </w:r>
    </w:p>
    <w:p>
      <w:pPr>
        <w:pStyle w:val="BodyText"/>
        <w:spacing w:line="276" w:lineRule="auto"/>
        <w:ind w:left="143" w:right="137"/>
        <w:jc w:val="both"/>
      </w:pPr>
      <w:r>
        <w:rPr>
          <w:b/>
        </w:rPr>
        <w:t>Cession du droit au bail : Conformément à l'article L. 145-16 du Code de commerce, le &lt;PERSON&gt; pourra céder son droit au bail à l'&lt;PERSON&gt; de son fonds de commerce. Toute autre cession est soumise à l'agrément préalable du &lt;PERSON&gt;.</w:t>
      </w:r>
    </w:p>
    <w:p>
      <w:pPr>
        <w:pStyle w:val="BodyText"/>
        <w:spacing w:line="276" w:lineRule="auto" w:before="200"/>
        <w:ind w:left="143" w:right="145"/>
        <w:jc w:val="both"/>
      </w:pPr>
      <w:r>
        <w:rPr/>
        <w:t>En cas de cession autorisée, le &lt;PERSON&gt; restera garant solidaire du &lt;PERSON&gt; pour le paiement des loyers et l'exécution des obligations du bail pendant une durée de trois ans à compter de la cession.</w:t>
      </w:r>
    </w:p>
    <w:p>
      <w:pPr>
        <w:pStyle w:val="BodyText"/>
        <w:spacing w:after="0" w:line="276" w:lineRule="auto"/>
        <w:jc w:val="both"/>
        <w:sectPr>
          <w:pgSz w:w="11910" w:h="16840"/>
          <w:pgMar w:header="715" w:footer="704" w:top="1040" w:bottom="900" w:left="1275" w:right="992"/>
        </w:sectPr>
      </w:pPr>
    </w:p>
    <w:p>
      <w:pPr>
        <w:pStyle w:val="Heading1"/>
        <w:spacing w:before="82"/>
        <w:ind w:left="4"/>
        <w:rPr>
          <w:u w:val="none"/>
        </w:rPr>
      </w:pPr>
      <w:r>
        <w:rPr>
          <w:u w:val="single"/>
        </w:rPr>
        <w:t>TITRE VI - CLAUSES PARTICULIÈRES</w:t>
      </w:r>
    </w:p>
    <w:p>
      <w:pPr>
        <w:pStyle w:val="BodyText"/>
        <w:spacing w:before="123"/>
        <w:rPr>
          <w:b/>
          <w:sz w:val="24"/>
        </w:rPr>
      </w:pPr>
    </w:p>
    <w:p>
      <w:pPr>
        <w:pStyle w:val="Heading2"/>
      </w:pPr>
      <w:r>
        <w:rPr/>
        <w:t>Article 16 - Clause résolutoire</w:t>
      </w:r>
    </w:p>
    <w:p>
      <w:pPr>
        <w:pStyle w:val="BodyText"/>
        <w:spacing w:line="276" w:lineRule="auto" w:before="202"/>
        <w:ind w:left="143" w:right="137"/>
        <w:jc w:val="both"/>
      </w:pPr>
      <w:r>
        <w:rPr/>
        <w:t>Il est expressément convenu que le présent bail sera résilié de plein droit, sans qu'il soit besoin de faire prononcer cette résiliation en justice, à défaut de paiement d'un seul terme de loyer ou de charges à son échéance exacte, ou en cas d'inexécution de l'une quelconque des conditions du bail, UN MOIS après un commandement de payer ou une sommation d'exécuter demeuré sans effet, contenant déclaration par le &lt;PERSON&gt; de son intention d'user du bénéfice de la présente clause.</w:t>
      </w:r>
    </w:p>
    <w:p>
      <w:pPr>
        <w:pStyle w:val="BodyText"/>
        <w:spacing w:line="278" w:lineRule="auto" w:before="199"/>
        <w:ind w:left="143" w:right="137"/>
        <w:jc w:val="both"/>
      </w:pPr>
      <w:r>
        <w:rPr/>
        <w:t>Cette clause résolutoire ne pourra être acquise au &lt;PERSON&gt; que si les conditions de l'article L. 145-41 du &lt;ORGANIZATION&gt; sont remplies.</w:t>
      </w:r>
    </w:p>
    <w:p>
      <w:pPr>
        <w:pStyle w:val="BodyText"/>
        <w:spacing w:before="142"/>
      </w:pPr>
    </w:p>
    <w:p>
      <w:pPr>
        <w:pStyle w:val="Heading2"/>
      </w:pPr>
      <w:r>
        <w:rPr/>
        <w:t>Article 17 - Solidarité et indivisibilité</w:t>
      </w:r>
    </w:p>
    <w:p>
      <w:pPr>
        <w:pStyle w:val="BodyText"/>
        <w:spacing w:line="276" w:lineRule="auto"/>
        <w:ind w:left="143" w:right="142"/>
        <w:jc w:val="both"/>
      </w:pPr>
      <w:r>
        <w:rPr/>
        <w:t>En cas de pluralité de &lt;PERSON&gt;, ceux-ci seront tenus solidairement et indivisiblement de toutes les obligations résultant du présent bail. La même solidarité existera entre le &lt;PERSON&gt; et le cessionnaire du droit au bail.</w:t>
      </w:r>
    </w:p>
    <w:p>
      <w:pPr>
        <w:pStyle w:val="BodyText"/>
        <w:spacing w:before="147"/>
      </w:pPr>
    </w:p>
    <w:p>
      <w:pPr>
        <w:pStyle w:val="Heading2"/>
      </w:pPr>
      <w:r>
        <w:rPr/>
        <w:t>Article 18 - Clause pénale</w:t>
      </w:r>
    </w:p>
    <w:p>
      <w:pPr>
        <w:pStyle w:val="BodyText"/>
        <w:spacing w:line="276" w:lineRule="auto"/>
        <w:ind w:left="143" w:right="139"/>
        <w:jc w:val="both"/>
      </w:pPr>
      <w:r>
        <w:rPr/>
        <w:t>En cas de retard dans le paiement du loyer ou des charges, le &lt;PERSON&gt; devra verser au &lt;PERSON&gt;, à titre de clause pénale, une indemnité égale à 10% (dix pour cent) des sommes dues, sans préjudice des intérêts de retard au taux légal majoré de cinq points.</w:t>
      </w:r>
    </w:p>
    <w:p>
      <w:pPr>
        <w:pStyle w:val="BodyText"/>
        <w:spacing w:before="147"/>
      </w:pPr>
    </w:p>
    <w:p>
      <w:pPr>
        <w:pStyle w:val="Heading2"/>
      </w:pPr>
      <w:r>
        <w:rPr/>
        <w:t>Article 19 - Élection de domicile</w:t>
      </w:r>
    </w:p>
    <w:p>
      <w:pPr>
        <w:pStyle w:val="BodyText"/>
        <w:spacing w:before="199"/>
        <w:ind w:left="143"/>
      </w:pPr>
      <w:r>
        <w:rPr/>
        <w:t>Pour l'exécution des présentes et de leurs suites, les parties font élection de domicile :</w:t>
      </w:r>
    </w:p>
    <w:p>
      <w:pPr>
        <w:pStyle w:val="ListParagraph"/>
        <w:numPr>
          <w:ilvl w:val="0"/>
          <w:numId w:val="2"/>
        </w:numPr>
        <w:tabs>
          <w:tab w:pos="629" w:val="left" w:leader="none"/>
        </w:tabs>
        <w:spacing w:line="240" w:lineRule="auto" w:before="239" w:after="0"/>
        <w:ind w:left="629" w:right="0" w:hanging="126"/>
        <w:jc w:val="left"/>
        <w:rPr>
          <w:sz w:val="22"/>
        </w:rPr>
      </w:pPr>
      <w:r>
        <w:rPr>
          <w:sz w:val="22"/>
        </w:rPr>
        <w:t>Le Bailleur : au siège de la &lt;ORGANIZATION&gt;, &lt;ADDRESS&gt;</w:t>
      </w:r>
    </w:p>
    <w:p>
      <w:pPr>
        <w:pStyle w:val="ListParagraph"/>
        <w:numPr>
          <w:ilvl w:val="0"/>
          <w:numId w:val="2"/>
        </w:numPr>
        <w:tabs>
          <w:tab w:pos="629" w:val="left" w:leader="none"/>
        </w:tabs>
        <w:spacing w:line="240" w:lineRule="auto" w:before="237" w:after="0"/>
        <w:ind w:left="629" w:right="0" w:hanging="126"/>
        <w:jc w:val="left"/>
        <w:rPr>
          <w:sz w:val="22"/>
        </w:rPr>
      </w:pPr>
      <w:r>
        <w:rPr>
          <w:sz w:val="22"/>
        </w:rPr>
        <w:t>&lt;ORGANIZATION&gt; : dans les locaux loués, &lt;ADDRESS&gt;</w:t>
      </w:r>
    </w:p>
    <w:p>
      <w:pPr>
        <w:pStyle w:val="BodyText"/>
        <w:spacing w:before="185"/>
      </w:pPr>
    </w:p>
    <w:p>
      <w:pPr>
        <w:pStyle w:val="Heading2"/>
        <w:spacing w:before="1"/>
      </w:pPr>
      <w:r>
        <w:rPr/>
        <w:t>Article 20 - Compétence juridictionnelle</w:t>
      </w:r>
    </w:p>
    <w:p>
      <w:pPr>
        <w:spacing w:line="276" w:lineRule="auto" w:before="201"/>
        <w:ind w:left="143" w:right="138" w:firstLine="0"/>
        <w:jc w:val="both"/>
        <w:rPr>
          <w:sz w:val="22"/>
        </w:rPr>
      </w:pPr>
      <w:r>
        <w:rPr>
          <w:sz w:val="22"/>
        </w:rPr>
        <w:t>Pour tout litige relatif au présent bail, les &lt;PERSON&gt; conviennent d'attribuer compétence exclusive au &lt;ORGANIZATION&gt;.</w:t>
      </w:r>
    </w:p>
    <w:p>
      <w:pPr>
        <w:pStyle w:val="BodyText"/>
        <w:spacing w:before="144"/>
      </w:pPr>
    </w:p>
    <w:p>
      <w:pPr>
        <w:pStyle w:val="Heading2"/>
        <w:spacing w:before="1"/>
      </w:pPr>
      <w:r>
        <w:rPr/>
        <w:t>Article 21 - Frais</w:t>
      </w:r>
    </w:p>
    <w:p>
      <w:pPr>
        <w:pStyle w:val="BodyText"/>
        <w:spacing w:line="276" w:lineRule="auto"/>
        <w:ind w:left="143" w:right="144"/>
        <w:jc w:val="both"/>
      </w:pPr>
      <w:r>
        <w:rPr/>
        <w:t>Les frais, droits et honoraires du présent bail et de ses suites seront supportés par le &lt;PERSON&gt;, conformément aux usages.</w:t>
      </w:r>
    </w:p>
    <w:p>
      <w:pPr>
        <w:pStyle w:val="BodyText"/>
        <w:spacing w:before="50"/>
      </w:pPr>
    </w:p>
    <w:p>
      <w:pPr>
        <w:pStyle w:val="Heading1"/>
        <w:rPr>
          <w:u w:val="none"/>
        </w:rPr>
      </w:pPr>
      <w:r>
        <w:rPr>
          <w:u w:val="single"/>
        </w:rPr>
        <w:t>TITRE VII - ANNEXES</w:t>
      </w:r>
    </w:p>
    <w:p>
      <w:pPr>
        <w:pStyle w:val="BodyText"/>
        <w:spacing w:before="120"/>
        <w:rPr>
          <w:b/>
          <w:sz w:val="24"/>
        </w:rPr>
      </w:pPr>
    </w:p>
    <w:p>
      <w:pPr>
        <w:pStyle w:val="Heading2"/>
      </w:pPr>
      <w:r>
        <w:rPr/>
        <w:t>Article 22 - Documents annexés</w:t>
      </w:r>
    </w:p>
    <w:p>
      <w:pPr>
        <w:pStyle w:val="BodyText"/>
        <w:ind w:left="143"/>
      </w:pPr>
      <w:r>
        <w:rPr/>
        <w:t>Sont annexés au présent bail et en font partie intégrante :</w:t>
      </w:r>
    </w:p>
    <w:p>
      <w:pPr>
        <w:pStyle w:val="ListParagraph"/>
        <w:numPr>
          <w:ilvl w:val="0"/>
          <w:numId w:val="3"/>
        </w:numPr>
        <w:tabs>
          <w:tab w:pos="723" w:val="left" w:leader="none"/>
        </w:tabs>
        <w:spacing w:line="240" w:lineRule="auto" w:before="239" w:after="0"/>
        <w:ind w:left="723" w:right="0" w:hanging="220"/>
        <w:jc w:val="left"/>
        <w:rPr>
          <w:sz w:val="22"/>
        </w:rPr>
      </w:pPr>
      <w:r>
        <w:rPr>
          <w:sz w:val="22"/>
        </w:rPr>
        <w:t>État des lieux d'entrée (à établir à la prise de possession)</w:t>
      </w:r>
    </w:p>
    <w:p>
      <w:pPr>
        <w:pStyle w:val="ListParagraph"/>
        <w:spacing w:after="0" w:line="240" w:lineRule="auto"/>
        <w:jc w:val="left"/>
        <w:rPr>
          <w:sz w:val="22"/>
        </w:rPr>
        <w:sectPr>
          <w:pgSz w:w="11910" w:h="16840"/>
          <w:pgMar w:header="715" w:footer="704" w:top="1040" w:bottom="900" w:left="1275" w:right="992"/>
        </w:sectPr>
      </w:pPr>
    </w:p>
    <w:p>
      <w:pPr>
        <w:pStyle w:val="ListParagraph"/>
        <w:numPr>
          <w:ilvl w:val="0"/>
          <w:numId w:val="3"/>
        </w:numPr>
        <w:tabs>
          <w:tab w:pos="723" w:val="left" w:leader="none"/>
        </w:tabs>
        <w:spacing w:line="240" w:lineRule="auto" w:before="81" w:after="0"/>
        <w:ind w:left="723" w:right="0" w:hanging="220"/>
        <w:jc w:val="left"/>
        <w:rPr>
          <w:sz w:val="22"/>
        </w:rPr>
      </w:pPr>
      <w:r>
        <w:rPr>
          <w:sz w:val="22"/>
        </w:rPr>
        <w:t>Diagnostic de Performance Énergétique (DPE)</w:t>
      </w:r>
    </w:p>
    <w:p>
      <w:pPr>
        <w:pStyle w:val="ListParagraph"/>
        <w:numPr>
          <w:ilvl w:val="0"/>
          <w:numId w:val="3"/>
        </w:numPr>
        <w:tabs>
          <w:tab w:pos="723" w:val="left" w:leader="none"/>
        </w:tabs>
        <w:spacing w:line="240" w:lineRule="auto" w:before="239" w:after="0"/>
        <w:ind w:left="723" w:right="0" w:hanging="220"/>
        <w:jc w:val="left"/>
        <w:rPr>
          <w:sz w:val="22"/>
        </w:rPr>
      </w:pPr>
      <w:r>
        <w:rPr>
          <w:sz w:val="22"/>
        </w:rPr>
        <w:t>&lt;ORGANIZATION&gt;</w:t>
      </w:r>
    </w:p>
    <w:p>
      <w:pPr>
        <w:pStyle w:val="ListParagraph"/>
        <w:numPr>
          <w:ilvl w:val="0"/>
          <w:numId w:val="3"/>
        </w:numPr>
        <w:tabs>
          <w:tab w:pos="723" w:val="left" w:leader="none"/>
        </w:tabs>
        <w:spacing w:line="240" w:lineRule="auto" w:before="240" w:after="0"/>
        <w:ind w:left="723" w:right="0" w:hanging="220"/>
        <w:jc w:val="left"/>
        <w:rPr>
          <w:sz w:val="22"/>
        </w:rPr>
      </w:pPr>
      <w:r>
        <w:rPr>
          <w:sz w:val="22"/>
        </w:rPr>
        <w:t>Diagnostic amiante</w:t>
      </w:r>
    </w:p>
    <w:p>
      <w:pPr>
        <w:pStyle w:val="ListParagraph"/>
        <w:numPr>
          <w:ilvl w:val="0"/>
          <w:numId w:val="3"/>
        </w:numPr>
        <w:tabs>
          <w:tab w:pos="723" w:val="left" w:leader="none"/>
        </w:tabs>
        <w:spacing w:line="240" w:lineRule="auto" w:before="236" w:after="0"/>
        <w:ind w:left="723" w:right="0" w:hanging="220"/>
        <w:jc w:val="left"/>
        <w:rPr>
          <w:sz w:val="22"/>
        </w:rPr>
      </w:pPr>
      <w:r>
        <w:rPr>
          <w:sz w:val="22"/>
        </w:rPr>
        <w:t>Règlement de copropriété (extraits)</w:t>
      </w:r>
    </w:p>
    <w:p>
      <w:pPr>
        <w:pStyle w:val="ListParagraph"/>
        <w:numPr>
          <w:ilvl w:val="0"/>
          <w:numId w:val="3"/>
        </w:numPr>
        <w:tabs>
          <w:tab w:pos="723" w:val="left" w:leader="none"/>
        </w:tabs>
        <w:spacing w:line="240" w:lineRule="auto" w:before="239" w:after="0"/>
        <w:ind w:left="723" w:right="0" w:hanging="220"/>
        <w:jc w:val="left"/>
        <w:rPr>
          <w:sz w:val="22"/>
        </w:rPr>
      </w:pPr>
      <w:r>
        <w:rPr>
          <w:sz w:val="22"/>
        </w:rPr>
        <w:t>Répartition des charges entre &lt;PROFESSION&gt; et &lt;PROFESSION&gt;</w:t>
      </w:r>
    </w:p>
    <w:p>
      <w:pPr>
        <w:pStyle w:val="ListParagraph"/>
        <w:numPr>
          <w:ilvl w:val="0"/>
          <w:numId w:val="3"/>
        </w:numPr>
        <w:tabs>
          <w:tab w:pos="723" w:val="left" w:leader="none"/>
        </w:tabs>
        <w:spacing w:line="240" w:lineRule="auto" w:before="237" w:after="0"/>
        <w:ind w:left="723" w:right="0" w:hanging="220"/>
        <w:jc w:val="left"/>
        <w:rPr>
          <w:sz w:val="22"/>
        </w:rPr>
      </w:pPr>
      <w:r>
        <w:rPr>
          <w:sz w:val="22"/>
        </w:rPr>
        <w:t>Attestation d'assurance du &lt;PERSON&gt; (à fournir)</w:t>
      </w:r>
    </w:p>
    <w:p>
      <w:pPr>
        <w:pStyle w:val="ListParagraph"/>
        <w:numPr>
          <w:ilvl w:val="0"/>
          <w:numId w:val="3"/>
        </w:numPr>
        <w:tabs>
          <w:tab w:pos="723" w:val="left" w:leader="none"/>
        </w:tabs>
        <w:spacing w:line="240" w:lineRule="auto" w:before="239" w:after="0"/>
        <w:ind w:left="723" w:right="0" w:hanging="220"/>
        <w:jc w:val="left"/>
        <w:rPr>
          <w:sz w:val="22"/>
        </w:rPr>
      </w:pPr>
      <w:r>
        <w:rPr>
          <w:sz w:val="22"/>
        </w:rPr>
        <w:t>Extrait K-bis du Preneur</w:t>
      </w:r>
    </w:p>
    <w:p>
      <w:pPr>
        <w:pStyle w:val="BodyText"/>
        <w:spacing w:before="0"/>
      </w:pPr>
    </w:p>
    <w:p>
      <w:pPr>
        <w:pStyle w:val="BodyText"/>
        <w:spacing w:before="131"/>
      </w:pPr>
    </w:p>
    <w:p>
      <w:pPr>
        <w:spacing w:before="0"/>
        <w:ind w:left="851" w:right="0" w:firstLine="0"/>
        <w:jc w:val="left"/>
        <w:rPr>
          <w:sz w:val="20"/>
        </w:rPr>
      </w:pPr>
      <w:r>
        <w:rPr>
          <w:spacing w:val="-2"/>
          <w:sz w:val="20"/>
        </w:rPr>
        <w:t>════════════════════════════════════════════════════════</w:t>
      </w:r>
    </w:p>
    <w:p>
      <w:pPr>
        <w:pStyle w:val="BodyText"/>
        <w:spacing w:before="71"/>
        <w:rPr>
          <w:sz w:val="20"/>
        </w:rPr>
      </w:pPr>
    </w:p>
    <w:p>
      <w:pPr>
        <w:pStyle w:val="BodyText"/>
        <w:spacing w:before="0"/>
        <w:ind w:left="143"/>
      </w:pPr>
      <w:r>
        <w:rPr/>
        <w:t>Fait en deux exemplaires originaux à Paris, le 15 mars 2024.</w:t>
      </w:r>
    </w:p>
    <w:p>
      <w:pPr>
        <w:spacing w:before="237"/>
        <w:ind w:left="143" w:right="0" w:firstLine="0"/>
        <w:jc w:val="left"/>
        <w:rPr>
          <w:i/>
          <w:sz w:val="22"/>
        </w:rPr>
      </w:pPr>
      <w:r>
        <w:rPr>
          <w:i/>
          <w:sz w:val="22"/>
        </w:rPr>
        <w:t>&lt;PERSON&gt; reconnaît avoir reçu un exemplaire du présent bail.</w:t>
      </w:r>
    </w:p>
    <w:p>
      <w:pPr>
        <w:pStyle w:val="BodyText"/>
        <w:spacing w:before="0"/>
        <w:rPr>
          <w:i/>
          <w:sz w:val="20"/>
        </w:rPr>
      </w:pPr>
    </w:p>
    <w:p>
      <w:pPr>
        <w:pStyle w:val="BodyText"/>
        <w:spacing w:before="0"/>
        <w:rPr>
          <w:i/>
          <w:sz w:val="20"/>
        </w:rPr>
      </w:pPr>
    </w:p>
    <w:p>
      <w:pPr>
        <w:pStyle w:val="BodyText"/>
        <w:spacing w:before="11"/>
        <w:rPr>
          <w:i/>
          <w:sz w:val="20"/>
        </w:rPr>
      </w:pPr>
    </w:p>
    <w:tbl>
      <w:tblPr>
        <w:tblW w:w="0" w:type="auto"/>
        <w:jc w:val="left"/>
        <w:tblInd w:w="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35"/>
        <w:gridCol w:w="4575"/>
      </w:tblGrid>
      <w:tr>
        <w:trPr>
          <w:trHeight w:val="3405" w:hRule="atLeast"/>
        </w:trPr>
        <w:tc>
          <w:tcPr>
            <w:tcW w:w="4235" w:type="dxa"/>
          </w:tcPr>
          <w:p>
            <w:pPr>
              <w:pStyle w:val="TableParagraph"/>
              <w:spacing w:line="244" w:lineRule="exact"/>
              <w:ind w:left="2"/>
              <w:rPr>
                <w:b/>
                <w:sz w:val="22"/>
              </w:rPr>
            </w:pPr>
            <w:r>
              <w:rPr>
                <w:b/>
                <w:sz w:val="22"/>
              </w:rPr>
              <w:t>&lt;ORGANIZATION&gt;</w:t>
            </w:r>
          </w:p>
          <w:p>
            <w:pPr>
              <w:pStyle w:val="TableParagraph"/>
              <w:spacing w:before="99"/>
              <w:ind w:left="3"/>
              <w:rPr>
                <w:sz w:val="20"/>
              </w:rPr>
            </w:pPr>
            <w:r>
              <w:rPr>
                <w:sz w:val="20"/>
              </w:rPr>
              <w:t>SCI HAUSSMANN PATRIMOINE</w:t>
            </w:r>
          </w:p>
          <w:p>
            <w:pPr>
              <w:pStyle w:val="TableParagraph"/>
              <w:spacing w:before="99"/>
              <w:ind w:left="4"/>
              <w:rPr>
                <w:sz w:val="20"/>
              </w:rPr>
            </w:pPr>
            <w:r>
              <w:rPr>
                <w:sz w:val="20"/>
              </w:rPr>
              <w:t>Représentée par M. &lt;PERSON&gt;</w:t>
            </w:r>
          </w:p>
          <w:p>
            <w:pPr>
              <w:pStyle w:val="TableParagraph"/>
              <w:spacing w:before="101"/>
              <w:ind w:left="3"/>
              <w:rPr>
                <w:i/>
                <w:sz w:val="20"/>
              </w:rPr>
            </w:pPr>
            <w:r>
              <w:rPr>
                <w:i/>
                <w:spacing w:val="-2"/>
                <w:sz w:val="20"/>
              </w:rPr>
              <w:t>Gérant</w:t>
            </w:r>
          </w:p>
          <w:p>
            <w:pPr>
              <w:pStyle w:val="TableParagraph"/>
              <w:ind w:right="0"/>
              <w:jc w:val="left"/>
              <w:rPr>
                <w:i/>
                <w:sz w:val="20"/>
              </w:rPr>
            </w:pPr>
          </w:p>
          <w:p>
            <w:pPr>
              <w:pStyle w:val="TableParagraph"/>
              <w:spacing w:before="193"/>
              <w:ind w:right="0"/>
              <w:jc w:val="left"/>
              <w:rPr>
                <w:i/>
                <w:sz w:val="20"/>
              </w:rPr>
            </w:pPr>
          </w:p>
          <w:p>
            <w:pPr>
              <w:pStyle w:val="TableParagraph"/>
              <w:spacing w:line="207" w:lineRule="exact"/>
              <w:rPr>
                <w:i/>
                <w:sz w:val="18"/>
              </w:rPr>
            </w:pPr>
            <w:r>
              <w:rPr>
                <w:i/>
                <w:sz w:val="18"/>
              </w:rPr>
              <w:t>(Signature précédée de la mention</w:t>
            </w:r>
          </w:p>
          <w:p>
            <w:pPr>
              <w:pStyle w:val="TableParagraph"/>
              <w:spacing w:line="207" w:lineRule="exact"/>
              <w:rPr>
                <w:i/>
                <w:sz w:val="18"/>
              </w:rPr>
            </w:pPr>
            <w:r>
              <w:rPr>
                <w:i/>
                <w:sz w:val="18"/>
              </w:rPr>
              <w:t>« Lu et approuvé, bon pour bail »)</w:t>
            </w:r>
          </w:p>
        </w:tc>
        <w:tc>
          <w:tcPr>
            <w:tcW w:w="4575" w:type="dxa"/>
          </w:tcPr>
          <w:p>
            <w:pPr>
              <w:pStyle w:val="TableParagraph"/>
              <w:spacing w:line="244" w:lineRule="exact"/>
              <w:ind w:left="513" w:right="4"/>
              <w:rPr>
                <w:b/>
                <w:sz w:val="22"/>
              </w:rPr>
            </w:pPr>
            <w:r>
              <w:rPr>
                <w:b/>
                <w:sz w:val="22"/>
              </w:rPr>
              <w:t>&lt;ORGANIZATION&gt;</w:t>
            </w:r>
          </w:p>
          <w:p>
            <w:pPr>
              <w:pStyle w:val="TableParagraph"/>
              <w:spacing w:before="99"/>
              <w:ind w:left="513" w:right="2"/>
              <w:rPr>
                <w:sz w:val="20"/>
              </w:rPr>
            </w:pPr>
            <w:r>
              <w:rPr>
                <w:sz w:val="20"/>
              </w:rPr>
              <w:t>&lt;ORGANIZATION&gt;</w:t>
            </w:r>
          </w:p>
          <w:p>
            <w:pPr>
              <w:pStyle w:val="TableParagraph"/>
              <w:spacing w:before="99"/>
              <w:ind w:left="513" w:right="3"/>
              <w:rPr>
                <w:sz w:val="20"/>
              </w:rPr>
            </w:pPr>
            <w:r>
              <w:rPr>
                <w:sz w:val="20"/>
              </w:rPr>
              <w:t>Représentée par Mme &lt;PERSON&gt;</w:t>
            </w:r>
          </w:p>
          <w:p>
            <w:pPr>
              <w:pStyle w:val="TableParagraph"/>
              <w:spacing w:before="101"/>
              <w:ind w:left="513" w:right="0"/>
              <w:rPr>
                <w:i/>
                <w:sz w:val="20"/>
              </w:rPr>
            </w:pPr>
            <w:r>
              <w:rPr>
                <w:i/>
                <w:spacing w:val="-2"/>
                <w:sz w:val="20"/>
              </w:rPr>
              <w:t>&lt;PROFESSION&gt;</w:t>
            </w:r>
          </w:p>
          <w:p>
            <w:pPr>
              <w:pStyle w:val="TableParagraph"/>
              <w:ind w:right="0"/>
              <w:jc w:val="left"/>
              <w:rPr>
                <w:i/>
                <w:sz w:val="20"/>
              </w:rPr>
            </w:pPr>
          </w:p>
          <w:p>
            <w:pPr>
              <w:pStyle w:val="TableParagraph"/>
              <w:spacing w:before="193"/>
              <w:ind w:right="0"/>
              <w:jc w:val="left"/>
              <w:rPr>
                <w:i/>
                <w:sz w:val="20"/>
              </w:rPr>
            </w:pPr>
          </w:p>
          <w:p>
            <w:pPr>
              <w:pStyle w:val="TableParagraph"/>
              <w:spacing w:line="207" w:lineRule="exact"/>
              <w:ind w:left="513" w:right="6"/>
              <w:rPr>
                <w:i/>
                <w:sz w:val="18"/>
              </w:rPr>
            </w:pPr>
            <w:r>
              <w:rPr>
                <w:i/>
                <w:sz w:val="18"/>
              </w:rPr>
              <w:t>(Signature précédée de la mention</w:t>
            </w:r>
          </w:p>
          <w:p>
            <w:pPr>
              <w:pStyle w:val="TableParagraph"/>
              <w:spacing w:line="207" w:lineRule="exact"/>
              <w:ind w:left="513" w:right="5"/>
              <w:rPr>
                <w:i/>
                <w:sz w:val="18"/>
              </w:rPr>
            </w:pPr>
            <w:r>
              <w:rPr>
                <w:i/>
                <w:sz w:val="18"/>
              </w:rPr>
              <w:t>« Lu et approuvé, bon pour bail »)</w:t>
            </w:r>
          </w:p>
        </w:tc>
      </w:tr>
    </w:tbl>
    <w:p>
      <w:pPr>
        <w:pStyle w:val="BodyText"/>
        <w:spacing w:before="0"/>
        <w:rPr>
          <w:i/>
          <w:sz w:val="16"/>
        </w:rPr>
      </w:pPr>
    </w:p>
    <w:p>
      <w:pPr>
        <w:pStyle w:val="BodyText"/>
        <w:spacing w:before="0"/>
        <w:rPr>
          <w:i/>
          <w:sz w:val="16"/>
        </w:rPr>
      </w:pPr>
    </w:p>
    <w:p>
      <w:pPr>
        <w:pStyle w:val="BodyText"/>
        <w:spacing w:before="0"/>
        <w:rPr>
          <w:i/>
          <w:sz w:val="16"/>
        </w:rPr>
      </w:pPr>
    </w:p>
    <w:p>
      <w:pPr>
        <w:pStyle w:val="BodyText"/>
        <w:spacing w:before="116"/>
        <w:rPr>
          <w:i/>
          <w:sz w:val="16"/>
        </w:rPr>
      </w:pPr>
    </w:p>
    <w:p>
      <w:pPr>
        <w:spacing w:before="0"/>
        <w:ind w:left="3" w:right="8" w:firstLine="0"/>
        <w:jc w:val="center"/>
        <w:rPr>
          <w:sz w:val="16"/>
        </w:rPr>
      </w:pPr>
      <w:r>
        <w:rPr>
          <w:color w:val="AAAAAA"/>
          <w:spacing w:val="-2"/>
          <w:sz w:val="16"/>
        </w:rPr>
        <w:t>═══════════════════════════════════════════════════════════════</w:t>
      </w:r>
    </w:p>
    <w:p>
      <w:pPr>
        <w:spacing w:line="307" w:lineRule="auto" w:before="102"/>
        <w:ind w:left="2344" w:right="2345" w:firstLine="6"/>
        <w:jc w:val="center"/>
        <w:rPr>
          <w:i/>
          <w:sz w:val="16"/>
        </w:rPr>
      </w:pPr>
      <w:r>
        <w:rPr>
          <w:i/>
          <w:color w:val="666666"/>
          <w:sz w:val="16"/>
        </w:rPr>
        <w:t>Le présent bail est soumis aux dispositions des articles L. 145-1 et suivants et R. 145-1 et suivants du &lt;ORGANIZATION&gt; relatifs aux baux commerciaux.</w:t>
      </w:r>
    </w:p>
    <w:sectPr>
      <w:pgSz w:w="11910" w:h="16840"/>
      <w:pgMar w:header="715" w:footer="704" w:top="1040" w:bottom="90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58816">
              <wp:simplePos x="0" y="0"/>
              <wp:positionH relativeFrom="page">
                <wp:posOffset>2482723</wp:posOffset>
              </wp:positionH>
              <wp:positionV relativeFrom="page">
                <wp:posOffset>10105389</wp:posOffset>
              </wp:positionV>
              <wp:extent cx="277876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778760" cy="152400"/>
                      </a:xfrm>
                      <a:prstGeom prst="rect">
                        <a:avLst/>
                      </a:prstGeom>
                    </wps:spPr>
                    <wps:txbx>
                      <w:txbxContent>
                        <w:p>
                          <w:pPr>
                            <w:tabs>
                              <w:tab w:pos="2104" w:val="left" w:leader="none"/>
                              <w:tab w:pos="3388" w:val="left" w:leader="underscore"/>
                            </w:tabs>
                            <w:spacing w:before="12"/>
                            <w:ind w:left="20" w:right="0" w:firstLine="0"/>
                            <w:jc w:val="left"/>
                            <w:rPr>
                              <w:sz w:val="18"/>
                            </w:rPr>
                          </w:pPr>
                          <w:r>
                            <w:rPr>
                              <w:sz w:val="18"/>
                            </w:rPr>
                            <w:t>Paraphes</w:t>
                          </w:r>
                          <w:r>
                            <w:rPr>
                              <w:spacing w:val="-1"/>
                              <w:sz w:val="18"/>
                            </w:rPr>
                            <w:t> </w:t>
                          </w:r>
                          <w:r>
                            <w:rPr>
                              <w:sz w:val="18"/>
                            </w:rPr>
                            <w:t>: Bailleur</w:t>
                          </w:r>
                          <w:r>
                            <w:rPr>
                              <w:spacing w:val="-2"/>
                              <w:sz w:val="18"/>
                            </w:rPr>
                            <w:t> </w:t>
                          </w:r>
                          <w:r>
                            <w:rPr>
                              <w:sz w:val="18"/>
                              <w:u w:val="single"/>
                            </w:rPr>
                            <w:tab/>
                          </w:r>
                          <w:r>
                            <w:rPr>
                              <w:spacing w:val="-2"/>
                              <w:sz w:val="18"/>
                            </w:rPr>
                            <w:t>Preneur</w:t>
                          </w:r>
                          <w:r>
                            <w:rPr>
                              <w:sz w:val="18"/>
                            </w:rPr>
                            <w:tab/>
                            <w:t>|</w:t>
                          </w:r>
                          <w:r>
                            <w:rPr>
                              <w:spacing w:val="-5"/>
                              <w:sz w:val="18"/>
                            </w:rPr>
                            <w:t> </w:t>
                          </w:r>
                          <w:r>
                            <w:rPr>
                              <w:sz w:val="18"/>
                            </w:rPr>
                            <w:t>Page</w:t>
                          </w:r>
                          <w:r>
                            <w:rPr>
                              <w:spacing w:val="4"/>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sur</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7</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195.490005pt;margin-top:795.699951pt;width:218.8pt;height:12pt;mso-position-horizontal-relative:page;mso-position-vertical-relative:page;z-index:-15857664" type="#_x0000_t202" id="docshape2" filled="false" stroked="false">
              <v:textbox inset="0,0,0,0">
                <w:txbxContent>
                  <w:p>
                    <w:pPr>
                      <w:tabs>
                        <w:tab w:pos="2104" w:val="left" w:leader="none"/>
                        <w:tab w:pos="3388" w:val="left" w:leader="underscore"/>
                      </w:tabs>
                      <w:spacing w:before="12"/>
                      <w:ind w:left="20" w:right="0" w:firstLine="0"/>
                      <w:jc w:val="left"/>
                      <w:rPr>
                        <w:sz w:val="18"/>
                      </w:rPr>
                    </w:pPr>
                    <w:r>
                      <w:rPr>
                        <w:sz w:val="18"/>
                      </w:rPr>
                      <w:t>Paraphes</w:t>
                    </w:r>
                    <w:r>
                      <w:rPr>
                        <w:spacing w:val="-1"/>
                        <w:sz w:val="18"/>
                      </w:rPr>
                      <w:t> </w:t>
                    </w:r>
                    <w:r>
                      <w:rPr>
                        <w:sz w:val="18"/>
                      </w:rPr>
                      <w:t>: Bailleur</w:t>
                    </w:r>
                    <w:r>
                      <w:rPr>
                        <w:spacing w:val="-2"/>
                        <w:sz w:val="18"/>
                      </w:rPr>
                      <w:t> </w:t>
                    </w:r>
                    <w:r>
                      <w:rPr>
                        <w:sz w:val="18"/>
                        <w:u w:val="single"/>
                      </w:rPr>
                      <w:tab/>
                    </w:r>
                    <w:r>
                      <w:rPr>
                        <w:spacing w:val="-2"/>
                        <w:sz w:val="18"/>
                      </w:rPr>
                      <w:t>Preneur</w:t>
                    </w:r>
                    <w:r>
                      <w:rPr>
                        <w:sz w:val="18"/>
                      </w:rPr>
                      <w:tab/>
                      <w:t>|</w:t>
                    </w:r>
                    <w:r>
                      <w:rPr>
                        <w:spacing w:val="-5"/>
                        <w:sz w:val="18"/>
                      </w:rPr>
                      <w:t> </w:t>
                    </w:r>
                    <w:r>
                      <w:rPr>
                        <w:sz w:val="18"/>
                      </w:rPr>
                      <w:t>Page</w:t>
                    </w:r>
                    <w:r>
                      <w:rPr>
                        <w:spacing w:val="4"/>
                        <w:sz w:val="18"/>
                      </w:rPr>
                      <w:t> </w:t>
                    </w:r>
                    <w:r>
                      <w:rPr>
                        <w:sz w:val="18"/>
                      </w:rPr>
                      <w:fldChar w:fldCharType="begin"/>
                    </w:r>
                    <w:r>
                      <w:rPr>
                        <w:sz w:val="18"/>
                      </w:rPr>
                      <w:instrText> PAGE </w:instrText>
                    </w:r>
                    <w:r>
                      <w:rPr>
                        <w:sz w:val="18"/>
                      </w:rPr>
                      <w:fldChar w:fldCharType="separate"/>
                    </w:r>
                    <w:r>
                      <w:rPr>
                        <w:sz w:val="18"/>
                      </w:rPr>
                      <w:t>1</w:t>
                    </w:r>
                    <w:r>
                      <w:rPr>
                        <w:sz w:val="18"/>
                      </w:rPr>
                      <w:fldChar w:fldCharType="end"/>
                    </w:r>
                    <w:r>
                      <w:rPr>
                        <w:spacing w:val="-1"/>
                        <w:sz w:val="18"/>
                      </w:rPr>
                      <w:t> </w:t>
                    </w:r>
                    <w:r>
                      <w:rPr>
                        <w:sz w:val="18"/>
                      </w:rPr>
                      <w:t>sur</w:t>
                    </w:r>
                    <w:r>
                      <w:rPr>
                        <w:spacing w:val="-2"/>
                        <w:sz w:val="18"/>
                      </w:rPr>
                      <w:t> </w:t>
                    </w:r>
                    <w:r>
                      <w:rPr>
                        <w:spacing w:val="-10"/>
                        <w:sz w:val="18"/>
                      </w:rPr>
                      <w:fldChar w:fldCharType="begin"/>
                    </w:r>
                    <w:r>
                      <w:rPr>
                        <w:spacing w:val="-10"/>
                        <w:sz w:val="18"/>
                      </w:rPr>
                      <w:instrText> NUMPAGES </w:instrText>
                    </w:r>
                    <w:r>
                      <w:rPr>
                        <w:spacing w:val="-10"/>
                        <w:sz w:val="18"/>
                      </w:rPr>
                      <w:fldChar w:fldCharType="separate"/>
                    </w:r>
                    <w:r>
                      <w:rPr>
                        <w:spacing w:val="-10"/>
                        <w:sz w:val="18"/>
                      </w:rPr>
                      <w:t>7</w:t>
                    </w:r>
                    <w:r>
                      <w:rPr>
                        <w:spacing w:val="-10"/>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58304">
              <wp:simplePos x="0" y="0"/>
              <wp:positionH relativeFrom="page">
                <wp:posOffset>2371470</wp:posOffset>
              </wp:positionH>
              <wp:positionV relativeFrom="page">
                <wp:posOffset>441705</wp:posOffset>
              </wp:positionV>
              <wp:extent cx="448246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82465" cy="152400"/>
                      </a:xfrm>
                      <a:prstGeom prst="rect">
                        <a:avLst/>
                      </a:prstGeom>
                    </wps:spPr>
                    <wps:txbx>
                      <w:txbxContent>
                        <w:p>
                          <w:pPr>
                            <w:spacing w:before="12"/>
                            <w:ind w:left="20" w:right="0" w:firstLine="0"/>
                            <w:jc w:val="left"/>
                            <w:rPr>
                              <w:i/>
                              <w:sz w:val="18"/>
                            </w:rPr>
                          </w:pPr>
                          <w:r>
                            <w:rPr>
                              <w:i/>
                              <w:color w:val="666666"/>
                              <w:sz w:val="18"/>
                            </w:rPr>
                            <w:t>Bail</w:t>
                          </w:r>
                          <w:r>
                            <w:rPr>
                              <w:i/>
                              <w:color w:val="666666"/>
                              <w:spacing w:val="-4"/>
                              <w:sz w:val="18"/>
                            </w:rPr>
                            <w:t> </w:t>
                          </w:r>
                          <w:r>
                            <w:rPr>
                              <w:i/>
                              <w:color w:val="666666"/>
                              <w:sz w:val="18"/>
                            </w:rPr>
                            <w:t>commercial</w:t>
                          </w:r>
                          <w:r>
                            <w:rPr>
                              <w:i/>
                              <w:color w:val="666666"/>
                              <w:spacing w:val="-1"/>
                              <w:sz w:val="18"/>
                            </w:rPr>
                            <w:t> </w:t>
                          </w:r>
                          <w:r>
                            <w:rPr>
                              <w:i/>
                              <w:color w:val="666666"/>
                              <w:sz w:val="18"/>
                            </w:rPr>
                            <w:t>-</w:t>
                          </w:r>
                          <w:r>
                            <w:rPr>
                              <w:i/>
                              <w:color w:val="666666"/>
                              <w:spacing w:val="-4"/>
                              <w:sz w:val="18"/>
                            </w:rPr>
                            <w:t> </w:t>
                          </w:r>
                          <w:r>
                            <w:rPr>
                              <w:i/>
                              <w:color w:val="666666"/>
                              <w:sz w:val="18"/>
                            </w:rPr>
                            <w:t>SCI</w:t>
                          </w:r>
                          <w:r>
                            <w:rPr>
                              <w:i/>
                              <w:color w:val="666666"/>
                              <w:spacing w:val="-2"/>
                              <w:sz w:val="18"/>
                            </w:rPr>
                            <w:t> </w:t>
                          </w:r>
                          <w:r>
                            <w:rPr>
                              <w:i/>
                              <w:color w:val="666666"/>
                              <w:sz w:val="18"/>
                            </w:rPr>
                            <w:t>HAUSSMANN</w:t>
                          </w:r>
                          <w:r>
                            <w:rPr>
                              <w:i/>
                              <w:color w:val="666666"/>
                              <w:spacing w:val="-2"/>
                              <w:sz w:val="18"/>
                            </w:rPr>
                            <w:t> </w:t>
                          </w:r>
                          <w:r>
                            <w:rPr>
                              <w:i/>
                              <w:color w:val="666666"/>
                              <w:sz w:val="18"/>
                            </w:rPr>
                            <w:t>PATRIMOINE</w:t>
                          </w:r>
                          <w:r>
                            <w:rPr>
                              <w:i/>
                              <w:color w:val="666666"/>
                              <w:spacing w:val="-1"/>
                              <w:sz w:val="18"/>
                            </w:rPr>
                            <w:t> </w:t>
                          </w:r>
                          <w:r>
                            <w:rPr>
                              <w:i/>
                              <w:color w:val="666666"/>
                              <w:sz w:val="18"/>
                            </w:rPr>
                            <w:t>/</w:t>
                          </w:r>
                          <w:r>
                            <w:rPr>
                              <w:i/>
                              <w:color w:val="666666"/>
                              <w:spacing w:val="-4"/>
                              <w:sz w:val="18"/>
                            </w:rPr>
                            <w:t> </w:t>
                          </w:r>
                          <w:r>
                            <w:rPr>
                              <w:i/>
                              <w:color w:val="666666"/>
                              <w:sz w:val="18"/>
                            </w:rPr>
                            <w:t>ARTISAN</w:t>
                          </w:r>
                          <w:r>
                            <w:rPr>
                              <w:i/>
                              <w:color w:val="666666"/>
                              <w:spacing w:val="-2"/>
                              <w:sz w:val="18"/>
                            </w:rPr>
                            <w:t> </w:t>
                          </w:r>
                          <w:r>
                            <w:rPr>
                              <w:i/>
                              <w:color w:val="666666"/>
                              <w:sz w:val="18"/>
                            </w:rPr>
                            <w:t>BOULANGER</w:t>
                          </w:r>
                          <w:r>
                            <w:rPr>
                              <w:i/>
                              <w:color w:val="666666"/>
                              <w:spacing w:val="-1"/>
                              <w:sz w:val="18"/>
                            </w:rPr>
                            <w:t> </w:t>
                          </w:r>
                          <w:r>
                            <w:rPr>
                              <w:i/>
                              <w:color w:val="666666"/>
                              <w:sz w:val="18"/>
                            </w:rPr>
                            <w:t>PARISIEN</w:t>
                          </w:r>
                          <w:r>
                            <w:rPr>
                              <w:i/>
                              <w:color w:val="666666"/>
                              <w:spacing w:val="-3"/>
                              <w:sz w:val="18"/>
                            </w:rPr>
                            <w:t> </w:t>
                          </w:r>
                          <w:r>
                            <w:rPr>
                              <w:i/>
                              <w:color w:val="666666"/>
                              <w:spacing w:val="-4"/>
                              <w:sz w:val="18"/>
                            </w:rPr>
                            <w:t>SARL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6.729996pt;margin-top:34.779964pt;width:352.95pt;height:12pt;mso-position-horizontal-relative:page;mso-position-vertical-relative:page;z-index:-15858176" type="#_x0000_t202" id="docshape1" filled="false" stroked="false">
              <v:textbox inset="0,0,0,0">
                <w:txbxContent>
                  <w:p>
                    <w:pPr>
                      <w:spacing w:before="12"/>
                      <w:ind w:left="20" w:right="0" w:firstLine="0"/>
                      <w:jc w:val="left"/>
                      <w:rPr>
                        <w:i/>
                        <w:sz w:val="18"/>
                      </w:rPr>
                    </w:pPr>
                    <w:r>
                      <w:rPr>
                        <w:i/>
                        <w:color w:val="666666"/>
                        <w:sz w:val="18"/>
                      </w:rPr>
                      <w:t>Bail</w:t>
                    </w:r>
                    <w:r>
                      <w:rPr>
                        <w:i/>
                        <w:color w:val="666666"/>
                        <w:spacing w:val="-4"/>
                        <w:sz w:val="18"/>
                      </w:rPr>
                      <w:t> </w:t>
                    </w:r>
                    <w:r>
                      <w:rPr>
                        <w:i/>
                        <w:color w:val="666666"/>
                        <w:sz w:val="18"/>
                      </w:rPr>
                      <w:t>commercial</w:t>
                    </w:r>
                    <w:r>
                      <w:rPr>
                        <w:i/>
                        <w:color w:val="666666"/>
                        <w:spacing w:val="-1"/>
                        <w:sz w:val="18"/>
                      </w:rPr>
                      <w:t> </w:t>
                    </w:r>
                    <w:r>
                      <w:rPr>
                        <w:i/>
                        <w:color w:val="666666"/>
                        <w:sz w:val="18"/>
                      </w:rPr>
                      <w:t>-</w:t>
                    </w:r>
                    <w:r>
                      <w:rPr>
                        <w:i/>
                        <w:color w:val="666666"/>
                        <w:spacing w:val="-4"/>
                        <w:sz w:val="18"/>
                      </w:rPr>
                      <w:t> </w:t>
                    </w:r>
                    <w:r>
                      <w:rPr>
                        <w:i/>
                        <w:color w:val="666666"/>
                        <w:sz w:val="18"/>
                      </w:rPr>
                      <w:t>SCI</w:t>
                    </w:r>
                    <w:r>
                      <w:rPr>
                        <w:i/>
                        <w:color w:val="666666"/>
                        <w:spacing w:val="-2"/>
                        <w:sz w:val="18"/>
                      </w:rPr>
                      <w:t> </w:t>
                    </w:r>
                    <w:r>
                      <w:rPr>
                        <w:i/>
                        <w:color w:val="666666"/>
                        <w:sz w:val="18"/>
                      </w:rPr>
                      <w:t>HAUSSMANN</w:t>
                    </w:r>
                    <w:r>
                      <w:rPr>
                        <w:i/>
                        <w:color w:val="666666"/>
                        <w:spacing w:val="-2"/>
                        <w:sz w:val="18"/>
                      </w:rPr>
                      <w:t> </w:t>
                    </w:r>
                    <w:r>
                      <w:rPr>
                        <w:i/>
                        <w:color w:val="666666"/>
                        <w:sz w:val="18"/>
                      </w:rPr>
                      <w:t>PATRIMOINE</w:t>
                    </w:r>
                    <w:r>
                      <w:rPr>
                        <w:i/>
                        <w:color w:val="666666"/>
                        <w:spacing w:val="-1"/>
                        <w:sz w:val="18"/>
                      </w:rPr>
                      <w:t> </w:t>
                    </w:r>
                    <w:r>
                      <w:rPr>
                        <w:i/>
                        <w:color w:val="666666"/>
                        <w:sz w:val="18"/>
                      </w:rPr>
                      <w:t>/</w:t>
                    </w:r>
                    <w:r>
                      <w:rPr>
                        <w:i/>
                        <w:color w:val="666666"/>
                        <w:spacing w:val="-4"/>
                        <w:sz w:val="18"/>
                      </w:rPr>
                      <w:t> </w:t>
                    </w:r>
                    <w:r>
                      <w:rPr>
                        <w:i/>
                        <w:color w:val="666666"/>
                        <w:sz w:val="18"/>
                      </w:rPr>
                      <w:t>ARTISAN</w:t>
                    </w:r>
                    <w:r>
                      <w:rPr>
                        <w:i/>
                        <w:color w:val="666666"/>
                        <w:spacing w:val="-2"/>
                        <w:sz w:val="18"/>
                      </w:rPr>
                      <w:t> </w:t>
                    </w:r>
                    <w:r>
                      <w:rPr>
                        <w:i/>
                        <w:color w:val="666666"/>
                        <w:sz w:val="18"/>
                      </w:rPr>
                      <w:t>BOULANGER</w:t>
                    </w:r>
                    <w:r>
                      <w:rPr>
                        <w:i/>
                        <w:color w:val="666666"/>
                        <w:spacing w:val="-1"/>
                        <w:sz w:val="18"/>
                      </w:rPr>
                      <w:t> </w:t>
                    </w:r>
                    <w:r>
                      <w:rPr>
                        <w:i/>
                        <w:color w:val="666666"/>
                        <w:sz w:val="18"/>
                      </w:rPr>
                      <w:t>PARISIEN</w:t>
                    </w:r>
                    <w:r>
                      <w:rPr>
                        <w:i/>
                        <w:color w:val="666666"/>
                        <w:spacing w:val="-3"/>
                        <w:sz w:val="18"/>
                      </w:rPr>
                      <w:t> </w:t>
                    </w:r>
                    <w:r>
                      <w:rPr>
                        <w:i/>
                        <w:color w:val="666666"/>
                        <w:spacing w:val="-4"/>
                        <w:sz w:val="18"/>
                      </w:rPr>
                      <w:t>SARL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91" w:hanging="128"/>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863" w:hanging="128"/>
      </w:pPr>
      <w:rPr>
        <w:rFonts w:hint="default"/>
        <w:lang w:val="fr-FR" w:eastAsia="en-US" w:bidi="ar-SA"/>
      </w:rPr>
    </w:lvl>
    <w:lvl w:ilvl="2">
      <w:start w:val="0"/>
      <w:numFmt w:val="bullet"/>
      <w:lvlText w:val="•"/>
      <w:lvlJc w:val="left"/>
      <w:pPr>
        <w:ind w:left="2727" w:hanging="128"/>
      </w:pPr>
      <w:rPr>
        <w:rFonts w:hint="default"/>
        <w:lang w:val="fr-FR" w:eastAsia="en-US" w:bidi="ar-SA"/>
      </w:rPr>
    </w:lvl>
    <w:lvl w:ilvl="3">
      <w:start w:val="0"/>
      <w:numFmt w:val="bullet"/>
      <w:lvlText w:val="•"/>
      <w:lvlJc w:val="left"/>
      <w:pPr>
        <w:ind w:left="3591" w:hanging="128"/>
      </w:pPr>
      <w:rPr>
        <w:rFonts w:hint="default"/>
        <w:lang w:val="fr-FR" w:eastAsia="en-US" w:bidi="ar-SA"/>
      </w:rPr>
    </w:lvl>
    <w:lvl w:ilvl="4">
      <w:start w:val="0"/>
      <w:numFmt w:val="bullet"/>
      <w:lvlText w:val="•"/>
      <w:lvlJc w:val="left"/>
      <w:pPr>
        <w:ind w:left="4455" w:hanging="128"/>
      </w:pPr>
      <w:rPr>
        <w:rFonts w:hint="default"/>
        <w:lang w:val="fr-FR" w:eastAsia="en-US" w:bidi="ar-SA"/>
      </w:rPr>
    </w:lvl>
    <w:lvl w:ilvl="5">
      <w:start w:val="0"/>
      <w:numFmt w:val="bullet"/>
      <w:lvlText w:val="•"/>
      <w:lvlJc w:val="left"/>
      <w:pPr>
        <w:ind w:left="5319" w:hanging="128"/>
      </w:pPr>
      <w:rPr>
        <w:rFonts w:hint="default"/>
        <w:lang w:val="fr-FR" w:eastAsia="en-US" w:bidi="ar-SA"/>
      </w:rPr>
    </w:lvl>
    <w:lvl w:ilvl="6">
      <w:start w:val="0"/>
      <w:numFmt w:val="bullet"/>
      <w:lvlText w:val="•"/>
      <w:lvlJc w:val="left"/>
      <w:pPr>
        <w:ind w:left="6183" w:hanging="128"/>
      </w:pPr>
      <w:rPr>
        <w:rFonts w:hint="default"/>
        <w:lang w:val="fr-FR" w:eastAsia="en-US" w:bidi="ar-SA"/>
      </w:rPr>
    </w:lvl>
    <w:lvl w:ilvl="7">
      <w:start w:val="0"/>
      <w:numFmt w:val="bullet"/>
      <w:lvlText w:val="•"/>
      <w:lvlJc w:val="left"/>
      <w:pPr>
        <w:ind w:left="7047" w:hanging="128"/>
      </w:pPr>
      <w:rPr>
        <w:rFonts w:hint="default"/>
        <w:lang w:val="fr-FR" w:eastAsia="en-US" w:bidi="ar-SA"/>
      </w:rPr>
    </w:lvl>
    <w:lvl w:ilvl="8">
      <w:start w:val="0"/>
      <w:numFmt w:val="bullet"/>
      <w:lvlText w:val="•"/>
      <w:lvlJc w:val="left"/>
      <w:pPr>
        <w:ind w:left="7911" w:hanging="128"/>
      </w:pPr>
      <w:rPr>
        <w:rFonts w:hint="default"/>
        <w:lang w:val="fr-FR" w:eastAsia="en-US" w:bidi="ar-SA"/>
      </w:rPr>
    </w:lvl>
  </w:abstractNum>
  <w:abstractNum w:abstractNumId="2">
    <w:multiLevelType w:val="hybridMultilevel"/>
    <w:lvl w:ilvl="0">
      <w:start w:val="1"/>
      <w:numFmt w:val="decimal"/>
      <w:lvlText w:val="%1."/>
      <w:lvlJc w:val="left"/>
      <w:pPr>
        <w:ind w:left="724" w:hanging="221"/>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611" w:hanging="221"/>
      </w:pPr>
      <w:rPr>
        <w:rFonts w:hint="default"/>
        <w:lang w:val="fr-FR" w:eastAsia="en-US" w:bidi="ar-SA"/>
      </w:rPr>
    </w:lvl>
    <w:lvl w:ilvl="2">
      <w:start w:val="0"/>
      <w:numFmt w:val="bullet"/>
      <w:lvlText w:val="•"/>
      <w:lvlJc w:val="left"/>
      <w:pPr>
        <w:ind w:left="2503" w:hanging="221"/>
      </w:pPr>
      <w:rPr>
        <w:rFonts w:hint="default"/>
        <w:lang w:val="fr-FR" w:eastAsia="en-US" w:bidi="ar-SA"/>
      </w:rPr>
    </w:lvl>
    <w:lvl w:ilvl="3">
      <w:start w:val="0"/>
      <w:numFmt w:val="bullet"/>
      <w:lvlText w:val="•"/>
      <w:lvlJc w:val="left"/>
      <w:pPr>
        <w:ind w:left="3395" w:hanging="221"/>
      </w:pPr>
      <w:rPr>
        <w:rFonts w:hint="default"/>
        <w:lang w:val="fr-FR" w:eastAsia="en-US" w:bidi="ar-SA"/>
      </w:rPr>
    </w:lvl>
    <w:lvl w:ilvl="4">
      <w:start w:val="0"/>
      <w:numFmt w:val="bullet"/>
      <w:lvlText w:val="•"/>
      <w:lvlJc w:val="left"/>
      <w:pPr>
        <w:ind w:left="4287" w:hanging="221"/>
      </w:pPr>
      <w:rPr>
        <w:rFonts w:hint="default"/>
        <w:lang w:val="fr-FR" w:eastAsia="en-US" w:bidi="ar-SA"/>
      </w:rPr>
    </w:lvl>
    <w:lvl w:ilvl="5">
      <w:start w:val="0"/>
      <w:numFmt w:val="bullet"/>
      <w:lvlText w:val="•"/>
      <w:lvlJc w:val="left"/>
      <w:pPr>
        <w:ind w:left="5179" w:hanging="221"/>
      </w:pPr>
      <w:rPr>
        <w:rFonts w:hint="default"/>
        <w:lang w:val="fr-FR" w:eastAsia="en-US" w:bidi="ar-SA"/>
      </w:rPr>
    </w:lvl>
    <w:lvl w:ilvl="6">
      <w:start w:val="0"/>
      <w:numFmt w:val="bullet"/>
      <w:lvlText w:val="•"/>
      <w:lvlJc w:val="left"/>
      <w:pPr>
        <w:ind w:left="6071" w:hanging="221"/>
      </w:pPr>
      <w:rPr>
        <w:rFonts w:hint="default"/>
        <w:lang w:val="fr-FR" w:eastAsia="en-US" w:bidi="ar-SA"/>
      </w:rPr>
    </w:lvl>
    <w:lvl w:ilvl="7">
      <w:start w:val="0"/>
      <w:numFmt w:val="bullet"/>
      <w:lvlText w:val="•"/>
      <w:lvlJc w:val="left"/>
      <w:pPr>
        <w:ind w:left="6963" w:hanging="221"/>
      </w:pPr>
      <w:rPr>
        <w:rFonts w:hint="default"/>
        <w:lang w:val="fr-FR" w:eastAsia="en-US" w:bidi="ar-SA"/>
      </w:rPr>
    </w:lvl>
    <w:lvl w:ilvl="8">
      <w:start w:val="0"/>
      <w:numFmt w:val="bullet"/>
      <w:lvlText w:val="•"/>
      <w:lvlJc w:val="left"/>
      <w:pPr>
        <w:ind w:left="7855" w:hanging="221"/>
      </w:pPr>
      <w:rPr>
        <w:rFonts w:hint="default"/>
        <w:lang w:val="fr-FR" w:eastAsia="en-US" w:bidi="ar-SA"/>
      </w:rPr>
    </w:lvl>
  </w:abstractNum>
  <w:abstractNum w:abstractNumId="1">
    <w:multiLevelType w:val="hybridMultilevel"/>
    <w:lvl w:ilvl="0">
      <w:start w:val="0"/>
      <w:numFmt w:val="bullet"/>
      <w:lvlText w:val="-"/>
      <w:lvlJc w:val="left"/>
      <w:pPr>
        <w:ind w:left="503" w:hanging="14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413" w:hanging="140"/>
      </w:pPr>
      <w:rPr>
        <w:rFonts w:hint="default"/>
        <w:lang w:val="fr-FR" w:eastAsia="en-US" w:bidi="ar-SA"/>
      </w:rPr>
    </w:lvl>
    <w:lvl w:ilvl="2">
      <w:start w:val="0"/>
      <w:numFmt w:val="bullet"/>
      <w:lvlText w:val="•"/>
      <w:lvlJc w:val="left"/>
      <w:pPr>
        <w:ind w:left="2327" w:hanging="140"/>
      </w:pPr>
      <w:rPr>
        <w:rFonts w:hint="default"/>
        <w:lang w:val="fr-FR" w:eastAsia="en-US" w:bidi="ar-SA"/>
      </w:rPr>
    </w:lvl>
    <w:lvl w:ilvl="3">
      <w:start w:val="0"/>
      <w:numFmt w:val="bullet"/>
      <w:lvlText w:val="•"/>
      <w:lvlJc w:val="left"/>
      <w:pPr>
        <w:ind w:left="3241" w:hanging="140"/>
      </w:pPr>
      <w:rPr>
        <w:rFonts w:hint="default"/>
        <w:lang w:val="fr-FR" w:eastAsia="en-US" w:bidi="ar-SA"/>
      </w:rPr>
    </w:lvl>
    <w:lvl w:ilvl="4">
      <w:start w:val="0"/>
      <w:numFmt w:val="bullet"/>
      <w:lvlText w:val="•"/>
      <w:lvlJc w:val="left"/>
      <w:pPr>
        <w:ind w:left="4155" w:hanging="140"/>
      </w:pPr>
      <w:rPr>
        <w:rFonts w:hint="default"/>
        <w:lang w:val="fr-FR" w:eastAsia="en-US" w:bidi="ar-SA"/>
      </w:rPr>
    </w:lvl>
    <w:lvl w:ilvl="5">
      <w:start w:val="0"/>
      <w:numFmt w:val="bullet"/>
      <w:lvlText w:val="•"/>
      <w:lvlJc w:val="left"/>
      <w:pPr>
        <w:ind w:left="5069" w:hanging="140"/>
      </w:pPr>
      <w:rPr>
        <w:rFonts w:hint="default"/>
        <w:lang w:val="fr-FR" w:eastAsia="en-US" w:bidi="ar-SA"/>
      </w:rPr>
    </w:lvl>
    <w:lvl w:ilvl="6">
      <w:start w:val="0"/>
      <w:numFmt w:val="bullet"/>
      <w:lvlText w:val="•"/>
      <w:lvlJc w:val="left"/>
      <w:pPr>
        <w:ind w:left="5983" w:hanging="140"/>
      </w:pPr>
      <w:rPr>
        <w:rFonts w:hint="default"/>
        <w:lang w:val="fr-FR" w:eastAsia="en-US" w:bidi="ar-SA"/>
      </w:rPr>
    </w:lvl>
    <w:lvl w:ilvl="7">
      <w:start w:val="0"/>
      <w:numFmt w:val="bullet"/>
      <w:lvlText w:val="•"/>
      <w:lvlJc w:val="left"/>
      <w:pPr>
        <w:ind w:left="6897" w:hanging="140"/>
      </w:pPr>
      <w:rPr>
        <w:rFonts w:hint="default"/>
        <w:lang w:val="fr-FR" w:eastAsia="en-US" w:bidi="ar-SA"/>
      </w:rPr>
    </w:lvl>
    <w:lvl w:ilvl="8">
      <w:start w:val="0"/>
      <w:numFmt w:val="bullet"/>
      <w:lvlText w:val="•"/>
      <w:lvlJc w:val="left"/>
      <w:pPr>
        <w:ind w:left="7811" w:hanging="140"/>
      </w:pPr>
      <w:rPr>
        <w:rFonts w:hint="default"/>
        <w:lang w:val="fr-FR" w:eastAsia="en-US" w:bidi="ar-SA"/>
      </w:rPr>
    </w:lvl>
  </w:abstractNum>
  <w:num w:numId="1">
    <w:abstractNumId w:val="0"/>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spacing w:before="201"/>
    </w:pPr>
    <w:rPr>
      <w:rFonts w:ascii="Times New Roman" w:hAnsi="Times New Roman" w:eastAsia="Times New Roman" w:cs="Times New Roman"/>
      <w:sz w:val="22"/>
      <w:szCs w:val="22"/>
      <w:lang w:val="fr-FR" w:eastAsia="en-US" w:bidi="ar-SA"/>
    </w:rPr>
  </w:style>
  <w:style w:styleId="Heading1" w:type="paragraph">
    <w:name w:val="Heading 1"/>
    <w:basedOn w:val="Normal"/>
    <w:uiPriority w:val="1"/>
    <w:qFormat/>
    <w:pPr>
      <w:ind w:left="5" w:right="5"/>
      <w:jc w:val="center"/>
      <w:outlineLvl w:val="1"/>
    </w:pPr>
    <w:rPr>
      <w:rFonts w:ascii="Times New Roman" w:hAnsi="Times New Roman" w:eastAsia="Times New Roman" w:cs="Times New Roman"/>
      <w:b/>
      <w:bCs/>
      <w:sz w:val="26"/>
      <w:szCs w:val="26"/>
      <w:u w:val="single" w:color="000000"/>
      <w:lang w:val="fr-FR" w:eastAsia="en-US" w:bidi="ar-SA"/>
    </w:rPr>
  </w:style>
  <w:style w:styleId="Heading2" w:type="paragraph">
    <w:name w:val="Heading 2"/>
    <w:basedOn w:val="Normal"/>
    <w:uiPriority w:val="1"/>
    <w:qFormat/>
    <w:pPr>
      <w:ind w:left="143"/>
      <w:outlineLvl w:val="2"/>
    </w:pPr>
    <w:rPr>
      <w:rFonts w:ascii="Times New Roman" w:hAnsi="Times New Roman" w:eastAsia="Times New Roman" w:cs="Times New Roman"/>
      <w:b/>
      <w:bCs/>
      <w:sz w:val="24"/>
      <w:szCs w:val="24"/>
      <w:lang w:val="fr-FR" w:eastAsia="en-US" w:bidi="ar-SA"/>
    </w:rPr>
  </w:style>
  <w:style w:styleId="Heading3" w:type="paragraph">
    <w:name w:val="Heading 3"/>
    <w:basedOn w:val="Normal"/>
    <w:uiPriority w:val="1"/>
    <w:qFormat/>
    <w:pPr>
      <w:spacing w:before="37"/>
      <w:ind w:left="503"/>
      <w:outlineLvl w:val="3"/>
    </w:pPr>
    <w:rPr>
      <w:rFonts w:ascii="Times New Roman" w:hAnsi="Times New Roman" w:eastAsia="Times New Roman" w:cs="Times New Roman"/>
      <w:b/>
      <w:bCs/>
      <w:sz w:val="22"/>
      <w:szCs w:val="22"/>
      <w:lang w:val="fr-FR" w:eastAsia="en-US" w:bidi="ar-SA"/>
    </w:rPr>
  </w:style>
  <w:style w:styleId="Title" w:type="paragraph">
    <w:name w:val="Title"/>
    <w:basedOn w:val="Normal"/>
    <w:uiPriority w:val="1"/>
    <w:qFormat/>
    <w:pPr>
      <w:spacing w:before="81"/>
      <w:ind w:left="8" w:right="5"/>
      <w:jc w:val="center"/>
    </w:pPr>
    <w:rPr>
      <w:rFonts w:ascii="Times New Roman" w:hAnsi="Times New Roman" w:eastAsia="Times New Roman" w:cs="Times New Roman"/>
      <w:b/>
      <w:bCs/>
      <w:sz w:val="40"/>
      <w:szCs w:val="40"/>
      <w:lang w:val="fr-FR" w:eastAsia="en-US" w:bidi="ar-SA"/>
    </w:rPr>
  </w:style>
  <w:style w:styleId="ListParagraph" w:type="paragraph">
    <w:name w:val="List Paragraph"/>
    <w:basedOn w:val="Normal"/>
    <w:uiPriority w:val="1"/>
    <w:qFormat/>
    <w:pPr>
      <w:spacing w:before="239"/>
      <w:ind w:left="989" w:hanging="126"/>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right="512"/>
      <w:jc w:val="center"/>
    </w:pPr>
    <w:rPr>
      <w:rFonts w:ascii="Times New Roman" w:hAnsi="Times New Roman" w:eastAsia="Times New Roman" w:cs="Times New Roman"/>
      <w:lang w:val="fr-FR" w:eastAsia="en-US" w:bidi="ar-SA"/>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theme/theme1.xml" Type="http://schemas.openxmlformats.org/officeDocument/2006/relationships/theme"/><Relationship Id="rId4" Target="settings.xml" Type="http://schemas.openxmlformats.org/officeDocument/2006/relationships/settings"/><Relationship Id="rId5" Target="header1.xml" Type="http://schemas.openxmlformats.org/officeDocument/2006/relationships/header"/><Relationship Id="rId6" Target="footer1.xml" Type="http://schemas.openxmlformats.org/officeDocument/2006/relationships/footer"/><Relationship Id="rId7"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2026-04-27T12:55:13Z</dcterms:created>
  <dc:creator/>
  <dcterms:modified xsi:type="dcterms:W3CDTF">2026-04-27T12:55:13Z</dcterms:modified>
</cp:coreProperties>
</file>

<file path=docProps/custom.xml><?xml version="1.0" encoding="utf-8"?>
<Properties xmlns="http://schemas.openxmlformats.org/officeDocument/2006/custom-properties" xmlns:vt="http://schemas.openxmlformats.org/officeDocument/2006/docPropsVTypes"/>
</file>