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Bilan condensé — </w:t>
      </w:r>
      <w:r>
        <w:rPr>
          <w:highlight w:val="yellow"/>
        </w:rPr>
        <w:t>&lt;PER_AA&gt;</w:t>
      </w:r>
      <w:r>
        <w:t xml:space="preserve"> (confidentiel M&amp;A)</w:t>
      </w:r>
    </w:p>
    <w:p>
      <w:r>
        <w:t>Document de travail pour due diligence. Closing visé : 15 juin 2026. Montant de l'opération : 4 850 000 €.</w:t>
      </w:r>
    </w:p>
    <w:p>
      <w:pPr>
        <w:pStyle w:val="Heading1"/>
      </w:pPr>
      <w:r>
        <w:t>Identité société cible</w:t>
      </w:r>
    </w:p>
    <w:p>
      <w:r>
        <w:t xml:space="preserve">Dénomination : </w:t>
      </w:r>
      <w:r>
        <w:rPr>
          <w:highlight w:val="yellow"/>
        </w:rPr>
        <w:t>&lt;ORG_AB&gt;</w:t>
      </w:r>
      <w:r>
        <w:t xml:space="preserve">
SIREN : 823 456 789
Siège : </w:t>
      </w:r>
      <w:r>
        <w:rPr>
          <w:highlight w:val="yellow"/>
        </w:rPr>
        <w:t>&lt;ADR_AC&gt;</w:t>
      </w:r>
      <w:r>
        <w:t xml:space="preserve">, </w:t>
      </w:r>
      <w:r>
        <w:rPr>
          <w:highlight w:val="yellow"/>
        </w:rPr>
        <w:t>&lt;ADR_AD&gt;</w:t>
      </w:r>
      <w:r>
        <w:t xml:space="preserve">
Président : </w:t>
      </w:r>
      <w:r>
        <w:rPr>
          <w:highlight w:val="yellow"/>
        </w:rPr>
        <w:t>&lt;PER_AE&gt;</w:t>
      </w:r>
      <w:r>
        <w:t xml:space="preserve"> : </w:t>
      </w:r>
      <w:r>
        <w:rPr>
          <w:highlight w:val="yellow"/>
        </w:rPr>
        <w:t>&lt;PER_AF&gt;</w:t>
      </w:r>
      <w:r>
        <w:t xml:space="preserve"> (marie.martin@martin-conseil.fr, 06 12 34 56 78)</w:t>
      </w:r>
    </w:p>
    <w:p>
      <w:pPr>
        <w:pStyle w:val="Heading1"/>
      </w:pPr>
      <w:r>
        <w:t>Chiffres clés (exercice 2025)</w:t>
      </w:r>
    </w:p>
    <w:p>
      <w:r>
        <w:t>Chiffre d'affaires : 2 340 000 €
EBE : 412 000 €
Résultat net : 198 500 €
Effectif : 23 salariés au 31/12/2025</w:t>
      </w:r>
    </w:p>
    <w:p>
      <w:pPr>
        <w:pStyle w:val="Heading1"/>
      </w:pPr>
      <w:r>
        <w:t>Parties prenantes transaction</w:t>
      </w:r>
    </w:p>
    <w:p>
      <w:r>
        <w:t xml:space="preserve">Cédant : Holding </w:t>
      </w:r>
      <w:r>
        <w:rPr>
          <w:highlight w:val="yellow"/>
        </w:rPr>
        <w:t>&lt;PER_AG&gt;</w:t>
      </w:r>
      <w:r>
        <w:t xml:space="preserve"> Investissements
Acquéreur potentiel : </w:t>
      </w:r>
      <w:r>
        <w:rPr>
          <w:highlight w:val="yellow"/>
        </w:rPr>
        <w:t>&lt;ORG_AH&gt;</w:t>
      </w:r>
      <w:r>
        <w:t xml:space="preserve">
Conseil vendeur : </w:t>
      </w:r>
      <w:r>
        <w:rPr>
          <w:highlight w:val="yellow"/>
        </w:rPr>
        <w:t>&lt;ORG_AI&gt;</w:t>
      </w:r>
      <w:r>
        <w:t xml:space="preserve"> deal lead : </w:t>
      </w:r>
      <w:r>
        <w:rPr>
          <w:highlight w:val="yellow"/>
        </w:rPr>
        <w:t>&lt;PER_AJ&gt;</w:t>
      </w:r>
      <w:r>
        <w:t xml:space="preserve"> (fabienne.hanras@eurallia.fr)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terms:modified xsi:type="dcterms:W3CDTF">2013-12-23T23:15:00Z</dcterms:modified>
  <cp:revision>0</cp:revision>
</cp:coreProperties>
</file>