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2A1D5" w14:textId="29EECAAC" w:rsidR="00FE221B" w:rsidRPr="00917720" w:rsidRDefault="00917720" w:rsidP="002F38A7">
      <w:pPr>
        <w:jc w:val="center"/>
        <w:rPr>
          <w:rFonts w:ascii="Times New Roman" w:hAnsi="Times New Roman" w:cs="Times New Roman"/>
          <w:b/>
          <w:bCs/>
          <w:sz w:val="28"/>
          <w:szCs w:val="28"/>
          <w:u w:val="dash"/>
        </w:rPr>
      </w:pPr>
      <w:r w:rsidRPr="00917720">
        <w:rPr>
          <w:rFonts w:ascii="Times New Roman" w:hAnsi="Times New Roman" w:cs="Times New Roman"/>
          <w:b/>
          <w:bCs/>
          <w:sz w:val="28"/>
          <w:szCs w:val="28"/>
          <w:u w:val="dash"/>
        </w:rPr>
        <w:t>STRUCTURE_JUDICIAIRE</w:t>
      </w:r>
    </w:p>
    <w:p w14:paraId="02F796BF" w14:textId="77777777" w:rsidR="00FE221B" w:rsidRDefault="00FE221B" w:rsidP="00FE221B">
      <w:pPr>
        <w:jc w:val="center"/>
        <w:rPr>
          <w:rFonts w:ascii="Times New Roman" w:hAnsi="Times New Roman" w:cs="Times New Roman"/>
          <w:b/>
          <w:bCs/>
          <w:sz w:val="28"/>
          <w:szCs w:val="28"/>
        </w:rPr>
      </w:pPr>
    </w:p>
    <w:tbl>
      <w:tblPr>
        <w:tblStyle w:val="Grilledutableau"/>
        <w:tblW w:w="9183" w:type="dxa"/>
        <w:tblLook w:val="04A0" w:firstRow="1" w:lastRow="0" w:firstColumn="1" w:lastColumn="0" w:noHBand="0" w:noVBand="1"/>
      </w:tblPr>
      <w:tblGrid>
        <w:gridCol w:w="3061"/>
        <w:gridCol w:w="3061"/>
        <w:gridCol w:w="3061"/>
      </w:tblGrid>
      <w:tr w:rsidR="00FE221B" w14:paraId="660B00CE" w14:textId="77777777" w:rsidTr="00FE221B">
        <w:trPr>
          <w:trHeight w:val="510"/>
        </w:trPr>
        <w:tc>
          <w:tcPr>
            <w:tcW w:w="3061" w:type="dxa"/>
          </w:tcPr>
          <w:p w14:paraId="7FB92157" w14:textId="1F9867F7" w:rsidR="00FE221B" w:rsidRDefault="00FE221B" w:rsidP="00FE221B">
            <w:pPr>
              <w:jc w:val="center"/>
              <w:rPr>
                <w:rFonts w:ascii="Times New Roman" w:hAnsi="Times New Roman" w:cs="Times New Roman"/>
                <w:b/>
                <w:bCs/>
                <w:sz w:val="28"/>
                <w:szCs w:val="28"/>
              </w:rPr>
            </w:pPr>
            <w:r>
              <w:rPr>
                <w:rFonts w:ascii="Times New Roman" w:hAnsi="Times New Roman" w:cs="Times New Roman"/>
                <w:b/>
                <w:bCs/>
                <w:sz w:val="28"/>
                <w:szCs w:val="28"/>
              </w:rPr>
              <w:t>NOM</w:t>
            </w:r>
          </w:p>
        </w:tc>
        <w:tc>
          <w:tcPr>
            <w:tcW w:w="3061" w:type="dxa"/>
          </w:tcPr>
          <w:p w14:paraId="79426BB0" w14:textId="7EDF955B" w:rsidR="00FE221B" w:rsidRDefault="00FE221B" w:rsidP="00FE221B">
            <w:pPr>
              <w:jc w:val="center"/>
              <w:rPr>
                <w:rFonts w:ascii="Times New Roman" w:hAnsi="Times New Roman" w:cs="Times New Roman"/>
                <w:b/>
                <w:bCs/>
                <w:sz w:val="28"/>
                <w:szCs w:val="28"/>
              </w:rPr>
            </w:pPr>
            <w:r>
              <w:rPr>
                <w:rFonts w:ascii="Times New Roman" w:hAnsi="Times New Roman" w:cs="Times New Roman"/>
                <w:b/>
                <w:bCs/>
                <w:sz w:val="28"/>
                <w:szCs w:val="28"/>
              </w:rPr>
              <w:t>DESCRIPTION</w:t>
            </w:r>
          </w:p>
        </w:tc>
        <w:tc>
          <w:tcPr>
            <w:tcW w:w="3061" w:type="dxa"/>
          </w:tcPr>
          <w:p w14:paraId="7C410934" w14:textId="4919590F" w:rsidR="00FE221B" w:rsidRDefault="00FE221B" w:rsidP="00FE221B">
            <w:pPr>
              <w:jc w:val="center"/>
              <w:rPr>
                <w:rFonts w:ascii="Times New Roman" w:hAnsi="Times New Roman" w:cs="Times New Roman"/>
                <w:b/>
                <w:bCs/>
                <w:sz w:val="28"/>
                <w:szCs w:val="28"/>
              </w:rPr>
            </w:pPr>
            <w:r>
              <w:rPr>
                <w:rFonts w:ascii="Times New Roman" w:hAnsi="Times New Roman" w:cs="Times New Roman"/>
                <w:b/>
                <w:bCs/>
                <w:sz w:val="28"/>
                <w:szCs w:val="28"/>
              </w:rPr>
              <w:t>EXEMPLE</w:t>
            </w:r>
          </w:p>
        </w:tc>
      </w:tr>
      <w:tr w:rsidR="00FE221B" w14:paraId="2A35CC99" w14:textId="77777777" w:rsidTr="00FE221B">
        <w:trPr>
          <w:trHeight w:val="1417"/>
        </w:trPr>
        <w:tc>
          <w:tcPr>
            <w:tcW w:w="3061" w:type="dxa"/>
          </w:tcPr>
          <w:p w14:paraId="4F2AD4D9" w14:textId="32B5A7E3" w:rsidR="00FE221B" w:rsidRDefault="00FE221B" w:rsidP="00FE221B">
            <w:pPr>
              <w:jc w:val="center"/>
              <w:rPr>
                <w:rFonts w:ascii="Times New Roman" w:hAnsi="Times New Roman" w:cs="Times New Roman"/>
                <w:b/>
                <w:bCs/>
                <w:sz w:val="28"/>
                <w:szCs w:val="28"/>
              </w:rPr>
            </w:pPr>
            <w:r w:rsidRPr="00FE221B">
              <w:rPr>
                <w:rFonts w:ascii="Times New Roman" w:hAnsi="Times New Roman" w:cs="Times New Roman"/>
                <w:b/>
                <w:bCs/>
                <w:sz w:val="28"/>
                <w:szCs w:val="28"/>
              </w:rPr>
              <w:t>Le tribunal de première instance (TPI)</w:t>
            </w:r>
          </w:p>
        </w:tc>
        <w:tc>
          <w:tcPr>
            <w:tcW w:w="3061" w:type="dxa"/>
          </w:tcPr>
          <w:p w14:paraId="61AE71E1" w14:textId="79A53862" w:rsidR="00FE221B" w:rsidRPr="00FE221B" w:rsidRDefault="00FE221B" w:rsidP="00FE221B">
            <w:pPr>
              <w:jc w:val="both"/>
              <w:rPr>
                <w:rFonts w:ascii="Times New Roman" w:hAnsi="Times New Roman" w:cs="Times New Roman"/>
                <w:sz w:val="28"/>
                <w:szCs w:val="28"/>
              </w:rPr>
            </w:pPr>
            <w:r w:rsidRPr="00FE221B">
              <w:rPr>
                <w:rFonts w:ascii="Times New Roman" w:hAnsi="Times New Roman" w:cs="Times New Roman"/>
                <w:sz w:val="28"/>
                <w:szCs w:val="28"/>
              </w:rPr>
              <w:t>C’est une juridiction qui traite des affaires civiles, commerciales, fiscales, administratives et pénales. Il juge en premier lieu. Cette décision est susceptible de recours1 (d’où la phrase « il juge en premier lieu »)</w:t>
            </w:r>
          </w:p>
        </w:tc>
        <w:tc>
          <w:tcPr>
            <w:tcW w:w="3061" w:type="dxa"/>
          </w:tcPr>
          <w:p w14:paraId="393465E5" w14:textId="41A556BB" w:rsidR="00FE221B" w:rsidRPr="00FE221B" w:rsidRDefault="00FE221B" w:rsidP="00FE221B">
            <w:pPr>
              <w:jc w:val="both"/>
              <w:rPr>
                <w:rFonts w:ascii="Times New Roman" w:hAnsi="Times New Roman" w:cs="Times New Roman"/>
                <w:sz w:val="28"/>
                <w:szCs w:val="28"/>
              </w:rPr>
            </w:pPr>
            <w:r w:rsidRPr="00FE221B">
              <w:rPr>
                <w:rFonts w:ascii="Times New Roman" w:hAnsi="Times New Roman" w:cs="Times New Roman"/>
                <w:sz w:val="28"/>
                <w:szCs w:val="28"/>
              </w:rPr>
              <w:t>En cas de conflit entre deux commerçants, l’un des commerçant peut saisir le TPI.</w:t>
            </w:r>
          </w:p>
        </w:tc>
      </w:tr>
      <w:tr w:rsidR="00FE221B" w14:paraId="50503E10" w14:textId="77777777" w:rsidTr="00FE221B">
        <w:trPr>
          <w:trHeight w:val="1417"/>
        </w:trPr>
        <w:tc>
          <w:tcPr>
            <w:tcW w:w="3061" w:type="dxa"/>
          </w:tcPr>
          <w:p w14:paraId="6CF6CB38" w14:textId="7FA12B45" w:rsidR="00FE221B" w:rsidRDefault="00FE221B" w:rsidP="00FE221B">
            <w:pPr>
              <w:jc w:val="center"/>
              <w:rPr>
                <w:rFonts w:ascii="Times New Roman" w:hAnsi="Times New Roman" w:cs="Times New Roman"/>
                <w:b/>
                <w:bCs/>
                <w:sz w:val="28"/>
                <w:szCs w:val="28"/>
              </w:rPr>
            </w:pPr>
            <w:r w:rsidRPr="00FE221B">
              <w:rPr>
                <w:rFonts w:ascii="Times New Roman" w:hAnsi="Times New Roman" w:cs="Times New Roman"/>
                <w:b/>
                <w:bCs/>
                <w:sz w:val="28"/>
                <w:szCs w:val="28"/>
              </w:rPr>
              <w:t>La cour d’appel</w:t>
            </w:r>
          </w:p>
        </w:tc>
        <w:tc>
          <w:tcPr>
            <w:tcW w:w="3061" w:type="dxa"/>
          </w:tcPr>
          <w:p w14:paraId="2FD4BB7B" w14:textId="29DFCFB5" w:rsidR="00FE221B" w:rsidRPr="00FE221B" w:rsidRDefault="00FE221B" w:rsidP="00FE221B">
            <w:pPr>
              <w:jc w:val="both"/>
              <w:rPr>
                <w:rFonts w:ascii="Times New Roman" w:hAnsi="Times New Roman" w:cs="Times New Roman"/>
                <w:sz w:val="28"/>
                <w:szCs w:val="28"/>
              </w:rPr>
            </w:pPr>
            <w:r w:rsidRPr="00FE221B">
              <w:rPr>
                <w:rFonts w:ascii="Times New Roman" w:hAnsi="Times New Roman" w:cs="Times New Roman"/>
                <w:sz w:val="28"/>
                <w:szCs w:val="28"/>
              </w:rPr>
              <w:t>C’est une juridiction qui examine les décisions rendues par le TPI, elle vérifie si la loi a été correctement appliquer et peut confirmer, modifier ou annuler ces décisions.</w:t>
            </w:r>
          </w:p>
        </w:tc>
        <w:tc>
          <w:tcPr>
            <w:tcW w:w="3061" w:type="dxa"/>
          </w:tcPr>
          <w:p w14:paraId="52DF01AD" w14:textId="39D0BB28" w:rsidR="00FE221B" w:rsidRPr="00FE221B" w:rsidRDefault="00FE221B" w:rsidP="00FE221B">
            <w:pPr>
              <w:jc w:val="both"/>
              <w:rPr>
                <w:rFonts w:ascii="Times New Roman" w:hAnsi="Times New Roman" w:cs="Times New Roman"/>
                <w:sz w:val="28"/>
                <w:szCs w:val="28"/>
              </w:rPr>
            </w:pPr>
            <w:r w:rsidRPr="00FE221B">
              <w:rPr>
                <w:rFonts w:ascii="Times New Roman" w:hAnsi="Times New Roman" w:cs="Times New Roman"/>
                <w:sz w:val="28"/>
                <w:szCs w:val="28"/>
              </w:rPr>
              <w:t>Dans le cas de l’exemple susmentionné, si la décision rendue par le TPI ne satisfait pas l’un des commerçants, il peut exercer son droit de recours qui va consister à saisir la cour d’appel</w:t>
            </w:r>
          </w:p>
        </w:tc>
      </w:tr>
      <w:tr w:rsidR="00FE221B" w14:paraId="369DB56A" w14:textId="77777777" w:rsidTr="00FE221B">
        <w:trPr>
          <w:trHeight w:val="1417"/>
        </w:trPr>
        <w:tc>
          <w:tcPr>
            <w:tcW w:w="3061" w:type="dxa"/>
          </w:tcPr>
          <w:p w14:paraId="3169BB16" w14:textId="11A9D88F" w:rsidR="00FE221B" w:rsidRDefault="00FE221B" w:rsidP="00FE221B">
            <w:pPr>
              <w:jc w:val="center"/>
              <w:rPr>
                <w:rFonts w:ascii="Times New Roman" w:hAnsi="Times New Roman" w:cs="Times New Roman"/>
                <w:b/>
                <w:bCs/>
                <w:sz w:val="28"/>
                <w:szCs w:val="28"/>
              </w:rPr>
            </w:pPr>
            <w:r w:rsidRPr="00FE221B">
              <w:rPr>
                <w:rFonts w:ascii="Times New Roman" w:hAnsi="Times New Roman" w:cs="Times New Roman"/>
                <w:b/>
                <w:bCs/>
                <w:sz w:val="28"/>
                <w:szCs w:val="28"/>
              </w:rPr>
              <w:t>La cour de cassation</w:t>
            </w:r>
          </w:p>
        </w:tc>
        <w:tc>
          <w:tcPr>
            <w:tcW w:w="3061" w:type="dxa"/>
          </w:tcPr>
          <w:p w14:paraId="39A5F3FA" w14:textId="7986DAAB" w:rsidR="00FE221B" w:rsidRPr="00FE221B" w:rsidRDefault="00FE221B" w:rsidP="00FE221B">
            <w:pPr>
              <w:jc w:val="both"/>
              <w:rPr>
                <w:rFonts w:ascii="Times New Roman" w:hAnsi="Times New Roman" w:cs="Times New Roman"/>
                <w:sz w:val="28"/>
                <w:szCs w:val="28"/>
              </w:rPr>
            </w:pPr>
            <w:r w:rsidRPr="00FE221B">
              <w:rPr>
                <w:rFonts w:ascii="Times New Roman" w:hAnsi="Times New Roman" w:cs="Times New Roman"/>
                <w:sz w:val="28"/>
                <w:szCs w:val="28"/>
              </w:rPr>
              <w:t xml:space="preserve">C’est la plus haute juridiction de l’ordre judiciaire en </w:t>
            </w:r>
            <w:r w:rsidRPr="00FE221B">
              <w:rPr>
                <w:rFonts w:ascii="Times New Roman" w:hAnsi="Times New Roman" w:cs="Times New Roman"/>
                <w:sz w:val="28"/>
                <w:szCs w:val="28"/>
              </w:rPr>
              <w:t>Côte</w:t>
            </w:r>
            <w:r w:rsidRPr="00FE221B">
              <w:rPr>
                <w:rFonts w:ascii="Times New Roman" w:hAnsi="Times New Roman" w:cs="Times New Roman"/>
                <w:sz w:val="28"/>
                <w:szCs w:val="28"/>
              </w:rPr>
              <w:t xml:space="preserve"> d’Ivoire. Elle ne juge pas les faits, mais vérifie si le droit a été correctement appliqué par les juges de la cour d’appel. Si elle estime que le droit n’a pas été respecté, elle casse la décision et renvoi l’affaire devant la même cour pour qu’elle rende une décision</w:t>
            </w:r>
          </w:p>
        </w:tc>
        <w:tc>
          <w:tcPr>
            <w:tcW w:w="3061" w:type="dxa"/>
          </w:tcPr>
          <w:p w14:paraId="403B1B93" w14:textId="4BC0E1FD" w:rsidR="00FE221B" w:rsidRPr="00FE221B" w:rsidRDefault="00FE221B" w:rsidP="00FE221B">
            <w:pPr>
              <w:jc w:val="both"/>
              <w:rPr>
                <w:rFonts w:ascii="Times New Roman" w:hAnsi="Times New Roman" w:cs="Times New Roman"/>
                <w:sz w:val="28"/>
                <w:szCs w:val="28"/>
              </w:rPr>
            </w:pPr>
            <w:r w:rsidRPr="00FE221B">
              <w:rPr>
                <w:rFonts w:ascii="Times New Roman" w:hAnsi="Times New Roman" w:cs="Times New Roman"/>
                <w:sz w:val="28"/>
                <w:szCs w:val="28"/>
              </w:rPr>
              <w:t>Dans le même exemple, si la décision rendue par la cour d’appel ne satisfait pas l’une des parties</w:t>
            </w:r>
            <w:proofErr w:type="gramStart"/>
            <w:r w:rsidRPr="00FE221B">
              <w:rPr>
                <w:rFonts w:ascii="Times New Roman" w:hAnsi="Times New Roman" w:cs="Times New Roman"/>
                <w:sz w:val="28"/>
                <w:szCs w:val="28"/>
              </w:rPr>
              <w:t>2 ,</w:t>
            </w:r>
            <w:proofErr w:type="gramEnd"/>
            <w:r w:rsidRPr="00FE221B">
              <w:rPr>
                <w:rFonts w:ascii="Times New Roman" w:hAnsi="Times New Roman" w:cs="Times New Roman"/>
                <w:sz w:val="28"/>
                <w:szCs w:val="28"/>
              </w:rPr>
              <w:t xml:space="preserve"> elle a le droit de’ saisir la cour de cassation</w:t>
            </w:r>
          </w:p>
        </w:tc>
      </w:tr>
      <w:tr w:rsidR="00FE221B" w14:paraId="63CF939A" w14:textId="77777777" w:rsidTr="00FE221B">
        <w:trPr>
          <w:trHeight w:val="1417"/>
        </w:trPr>
        <w:tc>
          <w:tcPr>
            <w:tcW w:w="3061" w:type="dxa"/>
          </w:tcPr>
          <w:p w14:paraId="2E2E452D" w14:textId="77777777" w:rsidR="00FE221B" w:rsidRPr="00FE221B" w:rsidRDefault="00FE221B" w:rsidP="00FE221B">
            <w:pPr>
              <w:jc w:val="center"/>
              <w:rPr>
                <w:rFonts w:ascii="Times New Roman" w:hAnsi="Times New Roman" w:cs="Times New Roman"/>
                <w:b/>
                <w:bCs/>
                <w:sz w:val="28"/>
                <w:szCs w:val="28"/>
              </w:rPr>
            </w:pPr>
          </w:p>
        </w:tc>
        <w:tc>
          <w:tcPr>
            <w:tcW w:w="3061" w:type="dxa"/>
          </w:tcPr>
          <w:p w14:paraId="40209CD3" w14:textId="77777777" w:rsidR="00FE221B" w:rsidRPr="00FE221B" w:rsidRDefault="00FE221B" w:rsidP="00FE221B">
            <w:pPr>
              <w:jc w:val="both"/>
              <w:rPr>
                <w:rFonts w:ascii="Times New Roman" w:hAnsi="Times New Roman" w:cs="Times New Roman"/>
                <w:sz w:val="28"/>
                <w:szCs w:val="28"/>
              </w:rPr>
            </w:pPr>
          </w:p>
        </w:tc>
        <w:tc>
          <w:tcPr>
            <w:tcW w:w="3061" w:type="dxa"/>
          </w:tcPr>
          <w:p w14:paraId="3E2D1D73" w14:textId="77777777" w:rsidR="00FE221B" w:rsidRPr="00FE221B" w:rsidRDefault="00FE221B" w:rsidP="00FE221B">
            <w:pPr>
              <w:jc w:val="both"/>
              <w:rPr>
                <w:rFonts w:ascii="Times New Roman" w:hAnsi="Times New Roman" w:cs="Times New Roman"/>
                <w:sz w:val="28"/>
                <w:szCs w:val="28"/>
              </w:rPr>
            </w:pPr>
          </w:p>
        </w:tc>
      </w:tr>
      <w:tr w:rsidR="00FE221B" w14:paraId="1EEAA6AC" w14:textId="77777777" w:rsidTr="00FE221B">
        <w:trPr>
          <w:trHeight w:val="1417"/>
        </w:trPr>
        <w:tc>
          <w:tcPr>
            <w:tcW w:w="3061" w:type="dxa"/>
          </w:tcPr>
          <w:p w14:paraId="4A0AB473" w14:textId="77777777" w:rsidR="00FE221B" w:rsidRPr="00FE221B" w:rsidRDefault="00FE221B" w:rsidP="00FE221B">
            <w:pPr>
              <w:jc w:val="center"/>
              <w:rPr>
                <w:rFonts w:ascii="Times New Roman" w:hAnsi="Times New Roman" w:cs="Times New Roman"/>
                <w:b/>
                <w:bCs/>
                <w:sz w:val="28"/>
                <w:szCs w:val="28"/>
              </w:rPr>
            </w:pPr>
          </w:p>
        </w:tc>
        <w:tc>
          <w:tcPr>
            <w:tcW w:w="3061" w:type="dxa"/>
          </w:tcPr>
          <w:p w14:paraId="17B96A09" w14:textId="77777777" w:rsidR="00FE221B" w:rsidRPr="00FE221B" w:rsidRDefault="00FE221B" w:rsidP="00FE221B">
            <w:pPr>
              <w:jc w:val="both"/>
              <w:rPr>
                <w:rFonts w:ascii="Times New Roman" w:hAnsi="Times New Roman" w:cs="Times New Roman"/>
                <w:sz w:val="28"/>
                <w:szCs w:val="28"/>
              </w:rPr>
            </w:pPr>
          </w:p>
        </w:tc>
        <w:tc>
          <w:tcPr>
            <w:tcW w:w="3061" w:type="dxa"/>
          </w:tcPr>
          <w:p w14:paraId="3F258EF8" w14:textId="77777777" w:rsidR="00FE221B" w:rsidRPr="00FE221B" w:rsidRDefault="00FE221B" w:rsidP="00FE221B">
            <w:pPr>
              <w:jc w:val="both"/>
              <w:rPr>
                <w:rFonts w:ascii="Times New Roman" w:hAnsi="Times New Roman" w:cs="Times New Roman"/>
                <w:sz w:val="28"/>
                <w:szCs w:val="28"/>
              </w:rPr>
            </w:pPr>
          </w:p>
        </w:tc>
      </w:tr>
      <w:tr w:rsidR="00917720" w14:paraId="6D499B75" w14:textId="77777777" w:rsidTr="00FE221B">
        <w:trPr>
          <w:trHeight w:val="1417"/>
        </w:trPr>
        <w:tc>
          <w:tcPr>
            <w:tcW w:w="3061" w:type="dxa"/>
          </w:tcPr>
          <w:p w14:paraId="7BC727A5" w14:textId="77777777" w:rsidR="00917720" w:rsidRPr="00FE221B" w:rsidRDefault="00917720" w:rsidP="00FE221B">
            <w:pPr>
              <w:jc w:val="center"/>
              <w:rPr>
                <w:rFonts w:ascii="Times New Roman" w:hAnsi="Times New Roman" w:cs="Times New Roman"/>
                <w:b/>
                <w:bCs/>
                <w:sz w:val="28"/>
                <w:szCs w:val="28"/>
              </w:rPr>
            </w:pPr>
          </w:p>
        </w:tc>
        <w:tc>
          <w:tcPr>
            <w:tcW w:w="3061" w:type="dxa"/>
          </w:tcPr>
          <w:p w14:paraId="2248E12D" w14:textId="77777777" w:rsidR="00917720" w:rsidRPr="00FE221B" w:rsidRDefault="00917720" w:rsidP="00FE221B">
            <w:pPr>
              <w:jc w:val="both"/>
              <w:rPr>
                <w:rFonts w:ascii="Times New Roman" w:hAnsi="Times New Roman" w:cs="Times New Roman"/>
                <w:sz w:val="28"/>
                <w:szCs w:val="28"/>
              </w:rPr>
            </w:pPr>
          </w:p>
        </w:tc>
        <w:tc>
          <w:tcPr>
            <w:tcW w:w="3061" w:type="dxa"/>
          </w:tcPr>
          <w:p w14:paraId="60F3351E" w14:textId="77777777" w:rsidR="00917720" w:rsidRPr="00FE221B" w:rsidRDefault="00917720" w:rsidP="00FE221B">
            <w:pPr>
              <w:jc w:val="both"/>
              <w:rPr>
                <w:rFonts w:ascii="Times New Roman" w:hAnsi="Times New Roman" w:cs="Times New Roman"/>
                <w:sz w:val="28"/>
                <w:szCs w:val="28"/>
              </w:rPr>
            </w:pPr>
          </w:p>
        </w:tc>
      </w:tr>
    </w:tbl>
    <w:p w14:paraId="24291855" w14:textId="77777777" w:rsidR="00FE221B" w:rsidRPr="00FE221B" w:rsidRDefault="00FE221B" w:rsidP="00FE221B">
      <w:pPr>
        <w:jc w:val="center"/>
        <w:rPr>
          <w:rFonts w:ascii="Times New Roman" w:hAnsi="Times New Roman" w:cs="Times New Roman"/>
          <w:b/>
          <w:bCs/>
          <w:sz w:val="28"/>
          <w:szCs w:val="28"/>
        </w:rPr>
      </w:pPr>
    </w:p>
    <w:sectPr w:rsidR="00FE221B" w:rsidRPr="00FE22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21B"/>
    <w:rsid w:val="002D700E"/>
    <w:rsid w:val="002F38A7"/>
    <w:rsid w:val="005A380A"/>
    <w:rsid w:val="00917720"/>
    <w:rsid w:val="00A03EDF"/>
    <w:rsid w:val="00BD585C"/>
    <w:rsid w:val="00CF14BF"/>
    <w:rsid w:val="00FE221B"/>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22378"/>
  <w15:chartTrackingRefBased/>
  <w15:docId w15:val="{D7B5696B-2ED7-495D-98E7-E4201418E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22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E22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E221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E221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E221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E221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E221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E221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E221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221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E221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E221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E221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E221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E221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E221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E221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E221B"/>
    <w:rPr>
      <w:rFonts w:eastAsiaTheme="majorEastAsia" w:cstheme="majorBidi"/>
      <w:color w:val="272727" w:themeColor="text1" w:themeTint="D8"/>
    </w:rPr>
  </w:style>
  <w:style w:type="paragraph" w:styleId="Titre">
    <w:name w:val="Title"/>
    <w:basedOn w:val="Normal"/>
    <w:next w:val="Normal"/>
    <w:link w:val="TitreCar"/>
    <w:uiPriority w:val="10"/>
    <w:qFormat/>
    <w:rsid w:val="00FE22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E221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E221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E221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E221B"/>
    <w:pPr>
      <w:spacing w:before="160"/>
      <w:jc w:val="center"/>
    </w:pPr>
    <w:rPr>
      <w:i/>
      <w:iCs/>
      <w:color w:val="404040" w:themeColor="text1" w:themeTint="BF"/>
    </w:rPr>
  </w:style>
  <w:style w:type="character" w:customStyle="1" w:styleId="CitationCar">
    <w:name w:val="Citation Car"/>
    <w:basedOn w:val="Policepardfaut"/>
    <w:link w:val="Citation"/>
    <w:uiPriority w:val="29"/>
    <w:rsid w:val="00FE221B"/>
    <w:rPr>
      <w:i/>
      <w:iCs/>
      <w:color w:val="404040" w:themeColor="text1" w:themeTint="BF"/>
    </w:rPr>
  </w:style>
  <w:style w:type="paragraph" w:styleId="Paragraphedeliste">
    <w:name w:val="List Paragraph"/>
    <w:basedOn w:val="Normal"/>
    <w:uiPriority w:val="34"/>
    <w:qFormat/>
    <w:rsid w:val="00FE221B"/>
    <w:pPr>
      <w:ind w:left="720"/>
      <w:contextualSpacing/>
    </w:pPr>
  </w:style>
  <w:style w:type="character" w:styleId="Accentuationintense">
    <w:name w:val="Intense Emphasis"/>
    <w:basedOn w:val="Policepardfaut"/>
    <w:uiPriority w:val="21"/>
    <w:qFormat/>
    <w:rsid w:val="00FE221B"/>
    <w:rPr>
      <w:i/>
      <w:iCs/>
      <w:color w:val="2F5496" w:themeColor="accent1" w:themeShade="BF"/>
    </w:rPr>
  </w:style>
  <w:style w:type="paragraph" w:styleId="Citationintense">
    <w:name w:val="Intense Quote"/>
    <w:basedOn w:val="Normal"/>
    <w:next w:val="Normal"/>
    <w:link w:val="CitationintenseCar"/>
    <w:uiPriority w:val="30"/>
    <w:qFormat/>
    <w:rsid w:val="00FE22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E221B"/>
    <w:rPr>
      <w:i/>
      <w:iCs/>
      <w:color w:val="2F5496" w:themeColor="accent1" w:themeShade="BF"/>
    </w:rPr>
  </w:style>
  <w:style w:type="character" w:styleId="Rfrenceintense">
    <w:name w:val="Intense Reference"/>
    <w:basedOn w:val="Policepardfaut"/>
    <w:uiPriority w:val="32"/>
    <w:qFormat/>
    <w:rsid w:val="00FE221B"/>
    <w:rPr>
      <w:b/>
      <w:bCs/>
      <w:smallCaps/>
      <w:color w:val="2F5496" w:themeColor="accent1" w:themeShade="BF"/>
      <w:spacing w:val="5"/>
    </w:rPr>
  </w:style>
  <w:style w:type="table" w:styleId="Grilledutableau">
    <w:name w:val="Table Grid"/>
    <w:basedOn w:val="TableauNormal"/>
    <w:uiPriority w:val="39"/>
    <w:rsid w:val="00FE2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198</Words>
  <Characters>1089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KOUAKOU</dc:creator>
  <cp:keywords/>
  <dc:description/>
  <cp:lastModifiedBy>Yann KOUAKOU</cp:lastModifiedBy>
  <cp:revision>1</cp:revision>
  <dcterms:created xsi:type="dcterms:W3CDTF">2025-05-16T22:04:00Z</dcterms:created>
  <dcterms:modified xsi:type="dcterms:W3CDTF">2025-05-16T22:42:00Z</dcterms:modified>
</cp:coreProperties>
</file>