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bidi w:val="0"/>
        <w:spacing w:before="240" w:after="283"/>
        <w:jc w:val="left"/>
        <w:rPr/>
      </w:pPr>
      <w:r>
        <w:rPr/>
        <w:t>Spécification fonctionnelle — Plateforme de location Set et Brique</w:t>
      </w:r>
    </w:p>
    <w:p>
      <w:pPr>
        <w:pStyle w:val="Citations"/>
        <w:bidi w:val="0"/>
        <w:spacing w:before="0" w:after="283"/>
        <w:ind w:left="567" w:right="567" w:hanging="0"/>
        <w:jc w:val="left"/>
        <w:rPr/>
      </w:pPr>
      <w:r>
        <w:rPr/>
        <w:t>Document interne (AGON-GATE) — à usage d'Alexis et Madus pour le développement. Ne pas diffuser tel quel à la cliente. Basé sur le devis, le contrat et les échanges de cadrage successifs (voir README.md du dépôt pour les points encore ouverts et les décisions reportées en V2).</w:t>
      </w:r>
    </w:p>
    <w:p>
      <w:pPr>
        <w:pStyle w:val="Titre2"/>
        <w:bidi w:val="0"/>
        <w:jc w:val="left"/>
        <w:rPr/>
      </w:pPr>
      <w:r>
        <w:rPr/>
        <w:t>Objectif du document</w:t>
      </w:r>
    </w:p>
    <w:p>
      <w:pPr>
        <w:pStyle w:val="Corpsdetexte"/>
        <w:bidi w:val="0"/>
        <w:spacing w:before="0" w:after="283"/>
        <w:jc w:val="left"/>
        <w:rPr/>
      </w:pPr>
      <w:r>
        <w:rPr/>
        <w:t>Décrire, module par module, les règles métier concrètes à implémenter : statuts, données, comportements attendus, cas limites déjà tranchés, et ce qui reste en attente. Rien dans ce document n'est inventé — tout ce qui n'est pas explicitement confirmé ci-dessous doit être posé en question avant développement plutôt que supposé.</w:t>
      </w:r>
    </w:p>
    <w:p>
      <w:pPr>
        <w:pStyle w:val="Titre2"/>
        <w:bidi w:val="0"/>
        <w:jc w:val="left"/>
        <w:rPr/>
      </w:pPr>
      <w:r>
        <w:rPr/>
        <w:t>Légende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Règle confirmée, prête à développer. 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En attente d'une réponse de la cliente (Marion) ou d'Alexis — cf. document « Questions — récap client ». 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Reporté à une V2, ne pas développer maintenant.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1. Location pure — catalogue &amp; stock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Fiche article (par set) — champs confirmés (document client du 11/09, exemple détaillé « Faucon Millénium » + catalogue complet) :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Titre.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Description (zone de texte libre).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Nombre de pièces total.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Dimensions une fois construit.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Numéro(s) du set — </w:t>
      </w:r>
      <w:r>
        <w:rPr>
          <w:rStyle w:val="Accentuationforte"/>
        </w:rPr>
        <w:t>peut être multiple</w:t>
      </w:r>
      <w:r>
        <w:rPr/>
        <w:t xml:space="preserve"> : un article loué regroupe parfois plusieurs boîtes LEGO officielles combinées (ex. NINJAGO = 2 références, Château Harry Potter = 2, Gare et train = 3). Le champ doit donc supporter une liste de références, pas une seule.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Nombre de notices (total, somme des références combinées le cas échéant).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Type de notice : papier ou numérique — </w:t>
      </w:r>
      <w:r>
        <w:rPr>
          <w:rStyle w:val="Accentuationforte"/>
        </w:rPr>
        <w:t>si numérique, avertissement à afficher au client</w:t>
      </w:r>
      <w:r>
        <w:rPr/>
        <w:t xml:space="preserve"> (nécessite un accès à internet par téléphone/PC/tablette pour suivre le montage).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Nombre de figurines.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Temps estimatif de montage.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Âge conseillé.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Marque : LEGO ou autre — confirmé nécessaire, le catalogue contient au moins une référence d'une autre marque (« La mine de l'ouest », marque « PANTASY »).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Montant de la caution (par set, déjà su — grille des cautions de 100 € à 650 € selon le set).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Champ commentaire libre, </w:t>
      </w:r>
      <w:r>
        <w:rPr>
          <w:rStyle w:val="Accentuationforte"/>
        </w:rPr>
        <w:t>visible côté client</w:t>
      </w:r>
      <w:r>
        <w:rPr/>
        <w:t xml:space="preserve"> sur la fiche du set (vide sur tous les sets actuels, à remplir au cas par cas par Set et Brique).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Poids du set : stocké en interne (utile à la vérification au retour, module 9), mais </w:t>
      </w:r>
      <w:r>
        <w:rPr>
          <w:rStyle w:val="Accentuationforte"/>
        </w:rPr>
        <w:t>jamais affiché côté client</w:t>
      </w:r>
      <w:r>
        <w:rPr/>
        <w:t xml:space="preserve"> — décision volontaire pour éviter que les locataires ne devinent le contenu exact des sachets pesés.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Nombre de photos à afficher par set : on avait proposé 3 à 4 par défaut, mais l'exemple fourni par la cliente pour le Faucon Millénium contient 12 photos. À reclarifier : faut-il toutes les afficher, ou nous laisse-t-elle choisir parmi celles fournies ?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Stock :</w:t>
      </w:r>
    </w:p>
    <w:p>
      <w:pPr>
        <w:pStyle w:val="Corpsdetexte"/>
        <w:numPr>
          <w:ilvl w:val="0"/>
          <w:numId w:val="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28 références au catalogue</w:t>
      </w:r>
      <w:r>
        <w:rPr/>
        <w:t xml:space="preserve"> (mise à jour de l'estimation « ~25 » du RDV de cadrage) — liste complète dans catalogue-sets-lego.md. Un seul exemplaire par référence aujourd'hui, mais le modèle de données doit prévoir le multi-stock (plusieurs exemplaires d'une même référence) pour une évolution future — ne pas coder en dur « quantité = 1 ».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Statuts d'un set :</w:t>
      </w:r>
    </w:p>
    <w:p>
      <w:pPr>
        <w:pStyle w:val="Corpsdetexte"/>
        <w:numPr>
          <w:ilvl w:val="0"/>
          <w:numId w:val="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>
          <w:rStyle w:val="Textesource"/>
        </w:rPr>
        <w:t>Disponible</w:t>
      </w:r>
      <w:r>
        <w:rPr/>
        <w:t xml:space="preserve"> / </w:t>
      </w:r>
      <w:r>
        <w:rPr>
          <w:rStyle w:val="Textesource"/>
        </w:rPr>
        <w:t>Location</w:t>
      </w:r>
      <w:r>
        <w:rPr/>
        <w:t xml:space="preserve"> / </w:t>
      </w:r>
      <w:r>
        <w:rPr>
          <w:rStyle w:val="Textesource"/>
        </w:rPr>
        <w:t>Battement</w:t>
      </w:r>
      <w:r>
        <w:rPr/>
        <w:t xml:space="preserve"> / </w:t>
      </w:r>
      <w:r>
        <w:rPr>
          <w:rStyle w:val="Textesource"/>
        </w:rPr>
        <w:t>Réparation</w:t>
      </w:r>
      <w:r>
        <w:rPr/>
        <w:t xml:space="preserve"> / </w:t>
      </w:r>
      <w:r>
        <w:rPr>
          <w:rStyle w:val="Textesource"/>
        </w:rPr>
        <w:t>Retiré</w:t>
      </w:r>
      <w:r>
        <w:rPr/>
        <w:t xml:space="preserve">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Délai de battement (entre deux locations) :</w:t>
      </w:r>
    </w:p>
    <w:p>
      <w:pPr>
        <w:pStyle w:val="Corpsdetexte"/>
        <w:numPr>
          <w:ilvl w:val="0"/>
          <w:numId w:val="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Réglable individuellement par set (valeur par défaut 4 jours), modifiable par Marion elle-même depuis le back-office.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Hors périmètre :</w:t>
      </w:r>
    </w:p>
    <w:p>
      <w:pPr>
        <w:pStyle w:val="Corpsdetexte"/>
        <w:numPr>
          <w:ilvl w:val="0"/>
          <w:numId w:val="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Suivi des colis envoyés/reçus — retiré, sans objet en V1 (100 % remise en main propre).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2. Planning des locations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planning est </w:t>
      </w:r>
      <w:r>
        <w:rPr>
          <w:rStyle w:val="Accentuationforte"/>
        </w:rPr>
        <w:t>propre à chaque lieu de retrait</w:t>
      </w:r>
      <w:r>
        <w:rPr/>
        <w:t xml:space="preserve"> (une seule personne fait les remises, donc impossible d'être sur deux lieux en même temps sur le même créneau).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Un client ne peut réserver que l'une des 4 durées fixes du tarif (4j / 7j / 15j / 1 mois) — pas de durée libre dans le tunnel. </w:t>
      </w:r>
      <w:r>
        <w:rPr>
          <w:rStyle w:val="Accentuationforte"/>
        </w:rPr>
        <w:t>Pas de durée maximale de location</w:t>
      </w:r>
      <w:r>
        <w:rPr/>
        <w:t xml:space="preserve"> côté entreprise (confirmé par la cliente), mais le tunnel ne propose toujours que les 4 durées : au-delà, cf. règle de prolongation ci-dessous.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Le tunnel réserve une date, pas un créneau horaire précis.</w:t>
      </w:r>
      <w:r>
        <w:rPr/>
        <w:t xml:space="preserve"> L'heure exacte de remise est négociée directement avec le client via chat/téléphone/email après la réservation — pas de sélecteur d'horaire dans le tunnel en V1. (Confirmé par la cliente ; elle envisage d'ajouter une tranche horaire plus tard, cf. section V2.)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Durée comptée en jours calendaires, pas en blocs de 24h.</w:t>
      </w:r>
      <w:r>
        <w:rPr/>
        <w:t xml:space="preserve"> Une location démarrant un mardi (quelle que soit l'heure de remise ce jour-là) et prévue pour 4 jours se termine le vendredi — le client doit rendre le set ce jour-là, quelle que soit l'heure. Cette règle détermine la date de retour attendue pour tous les calculs (rappel J-48h, déclenchement de la relance de retard, etc.).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Prolongation d'une location en cours</w:t>
      </w:r>
      <w:r>
        <w:rPr/>
        <w:t xml:space="preserve"> : possible, mais </w:t>
      </w:r>
      <w:r>
        <w:rPr>
          <w:rStyle w:val="Accentuationforte"/>
        </w:rPr>
        <w:t>gérée manuellement, pas par un bouton dédié dans l'espace client</w:t>
      </w:r>
      <w:r>
        <w:rPr/>
        <w:t xml:space="preserve">. Le client contacte Set et Brique (téléphone, chat ou email) pour vérifier la disponibilité, puis effectue lui-même une </w:t>
      </w:r>
      <w:r>
        <w:rPr>
          <w:rStyle w:val="Accentuationforte"/>
        </w:rPr>
        <w:t>nouvelle réservation via le tunnel</w:t>
      </w:r>
      <w:r>
        <w:rPr/>
        <w:t xml:space="preserve"> pour les jours supplémentaires — comme une location normale qui suit immédiatement la première. Aucun développement spécifique nécessaire pour la prolongation en elle-même.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Cette nouvelle réservation « à la suite » doit-elle sauter le délai de battement (puisque le set n'est jamais physiquement rendu entre les deux réservations), ou le système la traite-t-il comme une location normale avec battement standard, obligeant Marion à l'ajuster manuellement au cas par cas ?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« Chat » mentionné comme canal de contact (ici et pour la prise de créneau horaire) — est-ce un outil existant côté cliente (WhatsApp, Messenger...) à référencer simplement sur le site, ou une fonctionnalité de chat en direct à développer sur la plateforme ? Pas dans le périmètre actuel du devis si c'est la 2ᵉ option — à clarifier avant de l'assumer.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Marion doit-elle pouvoir bloquer des dates à l'avance sur le planning (vacances, indisponibilité générale), indépendamment du statut de chaque set ? Non tranché — remonté par Madus en lien avec le délai minimum de réservation.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Reporté en V2 :</w:t>
      </w:r>
    </w:p>
    <w:p>
      <w:pPr>
        <w:pStyle w:val="Corpsdetexte"/>
        <w:numPr>
          <w:ilvl w:val="0"/>
          <w:numId w:val="8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Tranche horaire précise sélectionnable dans le tunnel (créneaux de remise) — la cliente confirme elle-même vouloir l'envisager plus tard, « pas dans l'immédiat ».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3. Comptes clients &amp; espace de suivi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Inscription — champs obligatoires :</w:t>
      </w:r>
    </w:p>
    <w:p>
      <w:pPr>
        <w:pStyle w:val="Corpsdetexte"/>
        <w:numPr>
          <w:ilvl w:val="0"/>
          <w:numId w:val="9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Nom, prénom, email, téléphone, adresse postale (informations nécessaires à la facturation). Rien de plus (pas de date de naissance, etc.).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Locations simultanées :</w:t>
      </w:r>
    </w:p>
    <w:p>
      <w:pPr>
        <w:pStyle w:val="Corpsdetexte"/>
        <w:numPr>
          <w:ilvl w:val="0"/>
          <w:numId w:val="10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Un client peut-il avoir plusieurs locations actives en même temps, ou une seule à la fois ? Non tranché, question posée à Marion.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Compte bloqué :</w:t>
      </w:r>
    </w:p>
    <w:p>
      <w:pPr>
        <w:pStyle w:val="Corpsdetexte"/>
        <w:numPr>
          <w:ilvl w:val="0"/>
          <w:numId w:val="1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Statut « compte bloqué » à prévoir, activé/désactivé </w:t>
      </w:r>
      <w:r>
        <w:rPr>
          <w:rStyle w:val="Accentuationforte"/>
        </w:rPr>
        <w:t>manuellement par Marion</w:t>
      </w:r>
      <w:r>
        <w:rPr/>
        <w:t xml:space="preserve"> depuis le back-office (ex. set non rendu, litige en cours) — empêche toute nouvelle réservation tant qu'il est actif.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Espace de suivi (fusion de l'ancien module « Espace client ») :</w:t>
      </w:r>
    </w:p>
    <w:p>
      <w:pPr>
        <w:pStyle w:val="Corpsdetexte"/>
        <w:numPr>
          <w:ilvl w:val="0"/>
          <w:numId w:val="1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Le client voit l'avancement de ses locations en cours : prochaine date de retrait, set concerné, statut récupéré / à rendre, date de retour prévue, retard éventuel.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4. Paiement Stripe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Modes de paiement du loyer :</w:t>
      </w:r>
    </w:p>
    <w:p>
      <w:pPr>
        <w:pStyle w:val="Corpsdetexte"/>
        <w:numPr>
          <w:ilvl w:val="0"/>
          <w:numId w:val="1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Deux modes possibles : paiement en ligne (Stripe, prélevé </w:t>
      </w:r>
      <w:r>
        <w:rPr>
          <w:rStyle w:val="Accentuationforte"/>
        </w:rPr>
        <w:t>à la réservation</w:t>
      </w:r>
      <w:r>
        <w:rPr/>
        <w:t xml:space="preserve">), ou paiement sur place par </w:t>
      </w:r>
      <w:r>
        <w:rPr>
          <w:rStyle w:val="Accentuationforte"/>
        </w:rPr>
        <w:t>TPE</w:t>
      </w:r>
      <w:r>
        <w:rPr/>
        <w:t xml:space="preserve"> au moment de la remise en main propre.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Caution — sujet résolu (document client du 11/09) :</w:t>
      </w:r>
    </w:p>
    <w:p>
      <w:pPr>
        <w:pStyle w:val="Corpsdetexte"/>
        <w:numPr>
          <w:ilvl w:val="0"/>
          <w:numId w:val="1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Toujours en </w:t>
      </w:r>
      <w:r>
        <w:rPr>
          <w:rStyle w:val="Accentuationforte"/>
        </w:rPr>
        <w:t>pré-autorisation standard Stripe (7 jours)</w:t>
      </w:r>
      <w:r>
        <w:rPr/>
        <w:t xml:space="preserve">, jamais débitée sauf litige. </w:t>
      </w:r>
    </w:p>
    <w:p>
      <w:pPr>
        <w:pStyle w:val="Corpsdetexte"/>
        <w:numPr>
          <w:ilvl w:val="0"/>
          <w:numId w:val="1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Pas de solution technique de prolongation nécessaire</w:t>
      </w:r>
      <w:r>
        <w:rPr/>
        <w:t xml:space="preserve"> (ni Swikly, ni autorisation étendue Stripe, ni PayPal) : la cliente a tranché elle-même. Un hold bancaire au-delà de 7 jours est techniquement impossible, elle en est consciente et </w:t>
      </w:r>
      <w:r>
        <w:rPr>
          <w:rStyle w:val="Accentuationforte"/>
        </w:rPr>
        <w:t>prend une assurance professionnelle de son côté</w:t>
      </w:r>
      <w:r>
        <w:rPr/>
        <w:t xml:space="preserve"> pour couvrir le risque sur les locations de plus de 7 jours (15 jours, 1 mois). Aucun développement supplémentaire à prévoir sur ce point — ce qui clôt toute la réflexion Swikly/PayPal/autorisation étendue menée précédemment. </w:t>
      </w:r>
    </w:p>
    <w:p>
      <w:pPr>
        <w:pStyle w:val="Corpsdetexte"/>
        <w:numPr>
          <w:ilvl w:val="0"/>
          <w:numId w:val="1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Si le loyer est payé par TPE sur place, comment se fait la pré-autorisation de la caution (carte enregistrée en amont côté client tout de même) ? Question posée à Marion — reste ouverte indépendamment du point ci-dessus.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Hors périmètre :</w:t>
      </w:r>
    </w:p>
    <w:p>
      <w:pPr>
        <w:pStyle w:val="Corpsdetexte"/>
        <w:numPr>
          <w:ilvl w:val="0"/>
          <w:numId w:val="1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Pas d'option d'assurance/protection additionnelle — la caution est la seule protection.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Cas d'échec / abandon :</w:t>
      </w:r>
    </w:p>
    <w:p>
      <w:pPr>
        <w:pStyle w:val="Corpsdetexte"/>
        <w:numPr>
          <w:ilvl w:val="0"/>
          <w:numId w:val="1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Échec du paiement en ligne (carte refusée) → créneau bloqué </w:t>
      </w:r>
      <w:r>
        <w:rPr>
          <w:rStyle w:val="Accentuationforte"/>
        </w:rPr>
        <w:t>1h</w:t>
      </w:r>
      <w:r>
        <w:rPr/>
        <w:t xml:space="preserve"> le temps que le client trouve une solution. </w:t>
      </w:r>
    </w:p>
    <w:p>
      <w:pPr>
        <w:pStyle w:val="Corpsdetexte"/>
        <w:numPr>
          <w:ilvl w:val="0"/>
          <w:numId w:val="1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Abandon en cours de paiement (avant tentative) → créneau libéré après </w:t>
      </w:r>
      <w:r>
        <w:rPr>
          <w:rStyle w:val="Accentuationforte"/>
        </w:rPr>
        <w:t>15 min</w:t>
      </w:r>
      <w:r>
        <w:rPr/>
        <w:t xml:space="preserve">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5. Tunnel de réservation client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Parcours : sélection du set → choix de la durée (4 options fixes) → choix de la </w:t>
      </w:r>
      <w:r>
        <w:rPr>
          <w:rStyle w:val="Accentuationforte"/>
        </w:rPr>
        <w:t>date</w:t>
      </w:r>
      <w:r>
        <w:rPr/>
        <w:t xml:space="preserve"> de retrait (pas d'heure précise, cf. module 2) → paiement (en ligne, à la remise par TPE, ou par bon cadeau — module 6). L'heure exacte de remise se négocie après coup, hors tunnel.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En V1, tous les sets sont disponibles à tous les lieux de retrait (pas de restriction géographique par set).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6. Bons cadeaux</w:t>
      </w:r>
    </w:p>
    <w:p>
      <w:pPr>
        <w:pStyle w:val="Corpsdetexte"/>
        <w:bidi w:val="0"/>
        <w:spacing w:before="0" w:after="283"/>
        <w:jc w:val="left"/>
        <w:rPr/>
      </w:pPr>
      <w:r>
        <w:rPr/>
        <w:t>Module ajouté en cours de cadrage (absent du devis initial), à la demande de la cliente. Listé « Inclus » dans le devis — pas de surcoût, présenté comme rendu possible grâce à la réutilisation des modules Paiement Stripe (4) et Tunnel de réservation (5).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Confirmé :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Bons vendus aux montants de la grille tarifaire uniquement (10 € / 15 € / 25 € / 45 €) — pas de montant libre.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Génération automatique d'un code unique par bon acheté, envoyé par email à l'acheteur.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Utilisable comme moyen de paiement dans le tunnel de réservation, au même titre que Stripe ou le TPE.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Suivi des bons émis (valide / utilisé / expiré) depuis le back-office.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Encore à trancher :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Un bon doit-il correspondre exactement à une des 4 durées (ex. bon de 15 € utilisable uniquement pour une location de 7 jours), ou est-ce un crédit utilisable pour compléter un paiement plus important avec un autre moyen de paiement pour la différence ?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Si le montant du bon dépasse le prix de la location choisie, le solde restant est-il conservé pour une prochaine location, ou perdu ?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Un bon est-il nominatif (lié à un compte client), ou utilisable par toute personne détenant le code (cas classique du cadeau) ?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Durée de validité : la loi française impose un minimum d'1 an pour les bons d'achat non alimentaires (loi Chatel). Quelle durée exacte Marion souhaite-t-elle (1 an, 2 ans, illimité) ?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Un bon acheté et non utilisé peut-il être remboursé/annulé par le client ?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Le même système peut-il aussi servir à émettre des avoirs gratuits (offerts par Marion, sans achat) pour compenser un client lésé par un retard de retour (cf. point ouvert du module 1/2 sur le chevauchement de réservation) ?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7. Contrat de location / conditions générales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Contrat généré automatiquement (PDF) à chaque réservation</w:t>
      </w:r>
      <w:r>
        <w:rPr/>
        <w:t xml:space="preserve"> — pas un simple texte CGL statique. Le PDF doit reprendre les mentions légales, le set loué, la durée, les dates de retrait/retour et le montant. Réutiliser le même mécanisme de génération PDF que les factures (module 8) est probablement pertinent. 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Acceptation par </w:t>
      </w:r>
      <w:r>
        <w:rPr>
          <w:rStyle w:val="Accentuationforte"/>
        </w:rPr>
        <w:t>simple case à cocher</w:t>
      </w:r>
      <w:r>
        <w:rPr/>
        <w:t xml:space="preserve"> (« J'accepte les conditions générales ») avant validation de la commande — pas de signature électronique nominative en V1. C'est cette acceptation qui déclenche la génération du contrat. 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document physique remis dans la boîte lors du prêt (avertissement d'âge conseillé) est </w:t>
      </w:r>
      <w:r>
        <w:rPr>
          <w:rStyle w:val="Accentuationforte"/>
        </w:rPr>
        <w:t>géré indépendamment par Marion</w:t>
      </w:r>
      <w:r>
        <w:rPr/>
        <w:t xml:space="preserve">, hors système — rien à générer côté plateforme. 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Le contenu légal exact du contrat (barèmes de pénalités, annulation, retard) dépend des réponses de Marion — </w:t>
      </w:r>
      <w:r>
        <w:rPr>
          <w:rStyle w:val="Accentuationforte"/>
        </w:rPr>
        <w:t>le moteur de génération PDF peut être développé dès maintenant, mais le texte légal définitif ne pourra être finalisé qu'après ses réponses</w:t>
      </w:r>
      <w:r>
        <w:rPr/>
        <w:t xml:space="preserve">. 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Prix du module inchangé (300 €) malgré ce développement plus conséquent que la case à cocher initialement prévue — décision d'Alexis d'absorber le coût dans le forfait.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8. Facturation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Nouvelle numérotation de factures, </w:t>
      </w:r>
      <w:r>
        <w:rPr>
          <w:rStyle w:val="Accentuationforte"/>
        </w:rPr>
        <w:t>repart de zéro</w:t>
      </w:r>
      <w:r>
        <w:rPr/>
        <w:t xml:space="preserve"> (pas de reprise de Poppins ou d'une séquence existante).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Facture générée uniquement une fois le paiement confirmé : </w:t>
      </w:r>
    </w:p>
    <w:p>
      <w:pPr>
        <w:pStyle w:val="Corpsdetexte"/>
        <w:numPr>
          <w:ilvl w:val="1"/>
          <w:numId w:val="21"/>
        </w:numPr>
        <w:tabs>
          <w:tab w:val="clear" w:pos="1134"/>
          <w:tab w:val="left" w:pos="1414" w:leader="none"/>
        </w:tabs>
        <w:bidi w:val="0"/>
        <w:spacing w:before="0" w:after="0"/>
        <w:ind w:left="1414" w:hanging="283"/>
        <w:jc w:val="left"/>
        <w:rPr/>
      </w:pPr>
      <w:r>
        <w:rPr/>
        <w:t xml:space="preserve">automatiquement pour un paiement en ligne ou par bon cadeau ; </w:t>
      </w:r>
    </w:p>
    <w:p>
      <w:pPr>
        <w:pStyle w:val="Corpsdetexte"/>
        <w:numPr>
          <w:ilvl w:val="1"/>
          <w:numId w:val="21"/>
        </w:numPr>
        <w:tabs>
          <w:tab w:val="clear" w:pos="1134"/>
          <w:tab w:val="left" w:pos="1414" w:leader="none"/>
        </w:tabs>
        <w:bidi w:val="0"/>
        <w:spacing w:before="0" w:after="0"/>
        <w:ind w:left="1414" w:hanging="283"/>
        <w:jc w:val="left"/>
        <w:rPr/>
      </w:pPr>
      <w:r>
        <w:rPr/>
        <w:t xml:space="preserve">après que Marion ait marqué manuellement la réservation « payée » sur le site, pour un paiement TPE sur place.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Jamais de facture avant paiement effectif.</w:t>
      </w:r>
      <w:r>
        <w:rPr/>
        <w:t xml:space="preserve">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Export comptable complet (format, fréquence) : non défini, Marion n'a pas d'outil de comptabilité précis à ce jour — reporté en V2 (voir aussi module 11 pour l'export simple des ventes, inclus en V1).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9. État des lieux &amp; gestion des dommages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Processus de retour :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client dépose physiquement le set, sans déclaration formelle à faire (il peut signaler un souci à l'oral, ce n'est pas obligatoire). 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Marion réalise l'état des lieux </w:t>
      </w:r>
      <w:r>
        <w:rPr>
          <w:rStyle w:val="Accentuationforte"/>
        </w:rPr>
        <w:t>plus tard</w:t>
      </w:r>
      <w:r>
        <w:rPr/>
        <w:t xml:space="preserve">, généralement le soir même — c'est elle seule qui valide si le set est rentré en bon état. 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Cette validation déclenche le compte à rebours des 48h avant libération automatique de la caution (cf. module 4).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Retard de retour — trigger désormais connu (document client du 11/09) :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La date de retour attendue se calcule en jours calendaires (cf. module 2) : le client doit rendre le set </w:t>
      </w:r>
      <w:r>
        <w:rPr>
          <w:rStyle w:val="Accentuationforte"/>
        </w:rPr>
        <w:t>le jour J de la fin de location, à n'importe quelle heure</w:t>
      </w:r>
      <w:r>
        <w:rPr/>
        <w:t xml:space="preserve">. 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Tolérance d'environ </w:t>
      </w:r>
      <w:r>
        <w:rPr>
          <w:rStyle w:val="Accentuationforte"/>
        </w:rPr>
        <w:t>30 minutes après la fermeture/l'horaire habituel du jour J</w:t>
      </w:r>
      <w:r>
        <w:rPr/>
        <w:t xml:space="preserve"> avant qu'un retard soit considéré comme tel. Au-delà (ou passé le jour J), les pénalités de retard s'appliquent. 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Montant/barème exact de la pénalité de retard : toujours non tranché — seul le déclencheur (quand ça compte comme un retard) est désormais connu.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Barème de pénalité (pièces manquantes/cassées) :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Non tranché (pièce manquante/cassée) — </w:t>
      </w:r>
      <w:r>
        <w:rPr>
          <w:rStyle w:val="Accentuationforte"/>
        </w:rPr>
        <w:t>ne pas développer les prélèvements automatiques sur caution avant réponse de Marion</w:t>
      </w:r>
      <w:r>
        <w:rPr/>
        <w:t xml:space="preserve">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10. Notifications automatisées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Canal : email uniquement en V1 (pas de SMS). 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Rappel avant retour : envoyé </w:t>
      </w:r>
      <w:r>
        <w:rPr>
          <w:rStyle w:val="Accentuationforte"/>
        </w:rPr>
        <w:t>48h avant</w:t>
      </w:r>
      <w:r>
        <w:rPr/>
        <w:t xml:space="preserve"> la date de retour prévue. 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Relance en cas de retard : démarre </w:t>
      </w:r>
      <w:r>
        <w:rPr>
          <w:rStyle w:val="Accentuationforte"/>
        </w:rPr>
        <w:t>le lendemain</w:t>
      </w:r>
      <w:r>
        <w:rPr/>
        <w:t xml:space="preserve"> de la date de retour dépassée (vers 10h), puis </w:t>
      </w:r>
      <w:r>
        <w:rPr>
          <w:rStyle w:val="Accentuationforte"/>
        </w:rPr>
        <w:t>se répète chaque jour</w:t>
      </w:r>
      <w:r>
        <w:rPr/>
        <w:t xml:space="preserve"> tant que le set n'est pas rendu. 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Textes des emails rédigés par défaut par AGON-GATE, mais </w:t>
      </w:r>
      <w:r>
        <w:rPr>
          <w:rStyle w:val="Accentuationforte"/>
        </w:rPr>
        <w:t>Marion doit pouvoir les modifier elle-même</w:t>
      </w:r>
      <w:r>
        <w:rPr/>
        <w:t xml:space="preserve"> — prévoir un éditeur de templates dans le back-office.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11. Back-office &amp; reporting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Deux comptes d'accès en V1 : Alexis (admin), Marion (compte propriétaire). Pas d'autre utilisateur prévu pour l'instant.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Tableau de bord : chiffre d'affaires du mois, taux d'occupation par set, sets les plus loués.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Export simple des ventes par année civile, inclus en V1 (distinct de l'export comptable complet, qui reste en V2). Modèle de données : une </w:t>
      </w:r>
      <w:r>
        <w:rPr>
          <w:rStyle w:val="Accentuationforte"/>
        </w:rPr>
        <w:t>vente</w:t>
      </w:r>
      <w:r>
        <w:rPr/>
        <w:t xml:space="preserve"> est un nœud entre un </w:t>
      </w:r>
      <w:r>
        <w:rPr>
          <w:rStyle w:val="Accentuationforte"/>
        </w:rPr>
        <w:t>set</w:t>
      </w:r>
      <w:r>
        <w:rPr/>
        <w:t xml:space="preserve">, une </w:t>
      </w:r>
      <w:r>
        <w:rPr>
          <w:rStyle w:val="Accentuationforte"/>
        </w:rPr>
        <w:t>durée</w:t>
      </w:r>
      <w:r>
        <w:rPr/>
        <w:t xml:space="preserve"> et un </w:t>
      </w:r>
      <w:r>
        <w:rPr>
          <w:rStyle w:val="Accentuationforte"/>
        </w:rPr>
        <w:t>client</w:t>
      </w:r>
      <w:r>
        <w:rPr/>
        <w:t xml:space="preserve"> — c'est cet élément qui doit être interrogeable en base pour produire cet export. </w:t>
      </w:r>
    </w:p>
    <w:p>
      <w:pPr>
        <w:pStyle w:val="Corpsdetexte"/>
        <w:numPr>
          <w:ilvl w:val="0"/>
          <w:numId w:val="2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Export comptable complet (format lié à un outil de comptabilité) : reporté en V2, Marion n'a pas d'outil précis à ce jour.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12. Intégration, tests, déploiement, formation</w:t>
      </w:r>
    </w:p>
    <w:p>
      <w:pPr>
        <w:pStyle w:val="Corpsdetexte"/>
        <w:numPr>
          <w:ilvl w:val="0"/>
          <w:numId w:val="2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Formation destinée à Marion uniquement. </w:t>
      </w:r>
    </w:p>
    <w:p>
      <w:pPr>
        <w:pStyle w:val="Corpsdetexte"/>
        <w:numPr>
          <w:ilvl w:val="0"/>
          <w:numId w:val="27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Format : documentation écrite + sessions en présentiel chez elle (pas de visio prévue).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Récapitulatif des points bloquants (⏳ en attente de Marion ou d'Alexis)</w:t>
      </w:r>
    </w:p>
    <w:p>
      <w:pPr>
        <w:pStyle w:val="Corpsdetexte"/>
        <w:bidi w:val="0"/>
        <w:spacing w:before="0" w:after="283"/>
        <w:jc w:val="left"/>
        <w:rPr/>
      </w:pPr>
      <w:r>
        <w:rPr/>
        <w:t xml:space="preserve">Ne pas démarrer les modules 6 et 7 tant que les barèmes/règles ne sont pas connus. </w:t>
      </w:r>
      <w:r>
        <w:rPr>
          <w:rStyle w:val="Accentuationforte"/>
        </w:rPr>
        <w:t>Le sujet caution/durée de préautorisation (Swikly, Stripe étendu, PayPal) est résolu</w:t>
      </w:r>
      <w:r>
        <w:rPr/>
        <w:t>, ne figure plus dans cette liste (cf. module 4).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Barème de pénalité en cas de pièce manquante ou cassée (modules 7, 9).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Politique d'annulation (module 7).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Montant/barème de la pénalité de retard de retour — le déclencheur (jour calendaire + tolérance ~30 min) est désormais connu, seul le montant reste ouvert (modules 7, 9).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Délai minimum entre réservation et retrait (modules 2, 5).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Gestion du client suivant en cas de non-retour dans les temps (modules 1, 2).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Locations simultanées par client — oui/non (module 3).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Pré-autorisation de la caution en cas de paiement TPE sur place (module 4).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Nombre de photos par set à afficher — la proposition initiale (3-4) est contredite par l'exemple fourni (12 photos pour un set) ; à réclarifier (module 1).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Blocage de dates à l'avance sur le planning par Marion, vacances/indisponibilité (module 2).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Battement à appliquer (ou non) lors d'une prolongation immédiate du même client, sans retour physique du set entre les deux réservations (module 2).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Nature du « chat » mentionné par la cliente comme canal de contact : outil existant à référencer, ou fonctionnalité à développer (hors devis actuel si c'est le cas) ? (module 2).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Bon cadeau = valeur exacte d'une durée, ou crédit complétable par un autre moyen de paiement (module 6).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Solde restant d'un bon cadeau partiellement utilisé : conservé ou perdu (module 6).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Bon cadeau nominatif ou utilisable par toute personne détenant le code (module 6).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Durée de validité légale du bon cadeau — minimum 1 an, valeur exacte à définir (module 6).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Remboursement/annulation d'un bon cadeau non utilisé (module 6). </w:t>
      </w:r>
    </w:p>
    <w:p>
      <w:pPr>
        <w:pStyle w:val="Corpsdetexte"/>
        <w:numPr>
          <w:ilvl w:val="0"/>
          <w:numId w:val="28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Réutilisation du système de bons cadeaux pour émettre des avoirs gratuits en cas de litige (lien avec le point 5) (module 6). </w:t>
      </w:r>
    </w:p>
    <w:p>
      <w:pPr>
        <w:pStyle w:val="Titre2"/>
        <w:bidi w:val="0"/>
        <w:jc w:val="left"/>
        <w:rPr/>
      </w:pPr>
      <w:r>
        <w:rPr/>
        <w:t>Récapitulatif des points reportés en V2 (🔜)</w:t>
      </w:r>
    </w:p>
    <w:p>
      <w:pPr>
        <w:pStyle w:val="Corpsdetexte"/>
        <w:numPr>
          <w:ilvl w:val="0"/>
          <w:numId w:val="2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Tranche horaire précise sélectionnable dans le tunnel de réservation (module 2) — la cliente envisage de l'ajouter plus tard, « pas dans l'immédiat ». En V1, l'heure se négocie hors tunnel (chat/téléphone/email). </w:t>
      </w:r>
    </w:p>
    <w:p>
      <w:pPr>
        <w:pStyle w:val="Corpsdetexte"/>
        <w:numPr>
          <w:ilvl w:val="0"/>
          <w:numId w:val="29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Export comptable complet (modules 8, 11) — l'export simple des ventes par année civile, lui, est inclus en V1 (module 11). 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Résolu, ne figure plus en V2 :</w:t>
      </w:r>
      <w:r>
        <w:rPr/>
        <w:t xml:space="preserve"> la prolongation d'une location en cours ne nécessite finalement aucun développement dédié — elle se fait via une nouvelle réservation standard dans le tunnel après accord manuel avec la cliente (cf. module 2).</w:t>
      </w:r>
    </w:p>
    <w:sectPr>
      <w:type w:val="nextPage"/>
      <w:pgSz w:w="11906" w:h="16838"/>
      <w:pgMar w:left="1134" w:right="567" w:header="0" w:top="567" w:footer="0" w:bottom="567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 Unicode MS">
    <w:charset w:val="00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/>
    <w:rPr>
      <w:rFonts w:ascii="Liberation Sans Unicode MS" w:hAnsi="Liberation Sans Unicode MS"/>
      <w:b/>
      <w:bCs/>
      <w:sz w:val="48"/>
      <w:szCs w:val="44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Caractresdenotedefin">
    <w:name w:val="Caractères de note de fin"/>
    <w:qFormat/>
    <w:rPr/>
  </w:style>
  <w:style w:type="character" w:styleId="Caractresdenotedebasdepage">
    <w:name w:val="Caractères de note de bas de page"/>
    <w:qFormat/>
    <w:rPr/>
  </w:style>
  <w:style w:type="character" w:styleId="LienInternet">
    <w:name w:val="Lien Internet"/>
    <w:rPr>
      <w:color w:val="000080"/>
      <w:u w:val="single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Accentuationforte">
    <w:name w:val="Accentuation forte"/>
    <w:qFormat/>
    <w:rPr>
      <w:b/>
      <w:bCs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character" w:styleId="Caractresdenumrotation">
    <w:name w:val="Caractères de numérotation"/>
    <w:qFormat/>
    <w:rPr/>
  </w:style>
  <w:style w:type="paragraph" w:styleId="Lignehorizontale">
    <w:name w:val="Ligne horizontale"/>
    <w:basedOn w:val="Normal"/>
    <w:next w:val="Corpsdetexte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xpditeur">
    <w:name w:val="Envelope Return"/>
    <w:basedOn w:val="Normal"/>
    <w:pPr/>
    <w:rPr>
      <w:i/>
    </w:rPr>
  </w:style>
  <w:style w:type="paragraph" w:styleId="Contenudetableau">
    <w:name w:val="Contenu de tableau"/>
    <w:basedOn w:val="Corpsdetexte"/>
    <w:qFormat/>
    <w:pPr/>
    <w:rPr/>
  </w:style>
  <w:style w:type="paragraph" w:styleId="Pieddepage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tte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tteetpieddepage">
    <w:name w:val="En-tête et pied de page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e">
    <w:name w:val="List"/>
    <w:basedOn w:val="Corpsdetexte"/>
    <w:pPr/>
    <w:rPr>
      <w:rFonts w:cs="Arial"/>
    </w:rPr>
  </w:style>
  <w:style w:type="paragraph" w:styleId="Corpsdetexte">
    <w:name w:val="Body Text"/>
    <w:basedOn w:val="Normal"/>
    <w:pPr>
      <w:spacing w:before="0" w:after="283"/>
    </w:pPr>
    <w:rPr/>
  </w:style>
  <w:style w:type="paragraph" w:styleId="Titre">
    <w:name w:val="Titre"/>
    <w:basedOn w:val="Normal"/>
    <w:next w:val="Corpsdetexte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Citations">
    <w:name w:val="Citations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>Spécification fonctionnelle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