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857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619125"/>
                    </a:xfrm>
                    <a:prstGeom prst="rect">
                      <a:avLst/>
                    </a:prstGeom>
                  </pic:spPr>
                </pic:pic>
              </a:graphicData>
            </a:graphic>
          </wp:inline>
        </w:drawing>
      </w:r>
    </w:p>
    <w:p>
      <w:pPr>
        <w:spacing w:after="60"/>
        <w:jc w:val="center"/>
      </w:pPr>
      <w:r>
        <w:rPr>
          <w:b/>
          <w:bCs/>
          <w:sz w:val="30"/>
          <w:szCs w:val="30"/>
        </w:rPr>
        <w:t xml:space="preserve">CONTRAT DE PRESTATION DE SERVICES</w:t>
      </w:r>
    </w:p>
    <w:p>
      <w:pPr>
        <w:spacing w:after="300"/>
        <w:jc w:val="center"/>
      </w:pPr>
      <w:r>
        <w:rPr>
          <w:i/>
          <w:iCs/>
          <w:color w:val="444444"/>
          <w:sz w:val="22"/>
          <w:szCs w:val="22"/>
        </w:rPr>
        <w:t xml:space="preserve">Développement et hébergement d'une plateforme de location en ligne</w:t>
      </w:r>
    </w:p>
    <w:p>
      <w:pPr>
        <w:pBdr>
          <w:top w:val="single" w:color="E8A33D" w:sz="6"/>
          <w:bottom w:val="single" w:color="E8A33D" w:sz="6"/>
          <w:left w:val="single" w:color="E8A33D" w:sz="6"/>
          <w:right w:val="single" w:color="E8A33D" w:sz="6"/>
        </w:pBdr>
        <w:shd w:fill="FFF4E5"/>
        <w:spacing w:after="300"/>
      </w:pPr>
      <w:r>
        <w:rPr>
          <w:i/>
          <w:iCs/>
          <w:color w:val="8A5A00"/>
          <w:sz w:val="19"/>
          <w:szCs w:val="19"/>
        </w:rPr>
        <w:t xml:space="preserve">MODÈLE DE TRAVAIL — Les informations d'identification des deux parties ont été reprises des registres publics (societe.com / INSEE). Ce document reste un projet de contrat et doit être relu et validé par un professionnel du droit (avocat, ou a minima l'expert-comptable des deux parties) avant toute signature, notamment sur les clauses de propriété intellectuelle, de responsabilité, de résiliation et le préavis de reconduction (Article 9, à chiffrer).</w:t>
      </w:r>
    </w:p>
    <w:p>
      <w:pPr>
        <w:pStyle w:val="Heading1"/>
        <w:spacing w:after="120" w:before="320"/>
      </w:pPr>
      <w:r>
        <w:t xml:space="preserve">Entre les soussignés</w:t>
      </w:r>
    </w:p>
    <w:p>
      <w:pPr>
        <w:spacing w:after="160"/>
      </w:pPr>
      <w:r>
        <w:rPr>
          <w:sz w:val="21"/>
          <w:szCs w:val="21"/>
        </w:rPr>
        <w:t xml:space="preserve">La société AGON-GATE, Société par actions simplifiée au capital de 1 000 €, dont le siège social est situé 3 Lotissement Park Poulen, 56330 Pluvigner, immatriculée sous le numéro SIREN 105 957 070 (SIRET 105 957 070 00011), n° de TVA intracommunautaire FR88105957070, représentée par Alexis Bagarry, agissant en qualité de Président (ci-après « le Prestataire »),</w:t>
      </w:r>
    </w:p>
    <w:p>
      <w:pPr>
        <w:spacing w:after="160"/>
      </w:pPr>
      <w:r>
        <w:rPr>
          <w:b/>
          <w:bCs/>
          <w:sz w:val="21"/>
          <w:szCs w:val="21"/>
        </w:rPr>
        <w:t xml:space="preserve">ET</w:t>
      </w:r>
    </w:p>
    <w:p>
      <w:pPr>
        <w:spacing w:after="160"/>
      </w:pPr>
      <w:r>
        <w:rPr>
          <w:sz w:val="21"/>
          <w:szCs w:val="21"/>
        </w:rPr>
        <w:t xml:space="preserve">Madame Marion Lange-Berteaux, Entrepreneur individuel exerçant sous le nom commercial « Set et Brique », dont le siège de l'activité est situé 73 Boulevard René Laennec, 56100 Lorient, immatriculée sous le numéro SIREN 535 372 221 (SIRET 535 372 221 00064), n° de TVA intracommunautaire FR84535372221 (ci-après « le Client »),</w:t>
      </w:r>
    </w:p>
    <w:p>
      <w:pPr>
        <w:spacing w:after="160"/>
      </w:pPr>
      <w:r>
        <w:rPr>
          <w:sz w:val="21"/>
          <w:szCs w:val="21"/>
        </w:rPr>
        <w:t xml:space="preserve">Il a été convenu ce qui suit :</w:t>
      </w:r>
    </w:p>
    <w:p>
      <w:pPr>
        <w:pStyle w:val="Heading1"/>
        <w:spacing w:after="120" w:before="320"/>
      </w:pPr>
      <w:r>
        <w:t xml:space="preserve">Article 1 — Objet du contrat</w:t>
      </w:r>
    </w:p>
    <w:p>
      <w:pPr>
        <w:spacing w:after="160"/>
      </w:pPr>
      <w:r>
        <w:rPr>
          <w:sz w:val="21"/>
          <w:szCs w:val="21"/>
        </w:rPr>
        <w:t xml:space="preserve">Le Client exploite un site vitrine (set-et-brique.com) proposant la location de sets LEGO. Il gère actuellement ses locations via la plateforme tierce Poppins (www.poppins.app), dont les fonctionnalités ne permettent pas de gérer facilement les locations de longue durée (supérieures à une semaine).</w:t>
      </w:r>
    </w:p>
    <w:p>
      <w:pPr>
        <w:spacing w:after="160"/>
      </w:pPr>
      <w:r>
        <w:rPr>
          <w:sz w:val="21"/>
          <w:szCs w:val="21"/>
        </w:rPr>
        <w:t xml:space="preserve">Le présent contrat a pour objet le développement, par le Prestataire, de fonctionnalités de réservation, de gestion de stock, de paiement et de suivi des locations directement intégrées au site du Client, afin de permettre à terme de se passer de Poppins.</w:t>
      </w:r>
    </w:p>
    <w:p>
      <w:pPr>
        <w:spacing w:after="160"/>
      </w:pPr>
      <w:r>
        <w:rPr>
          <w:sz w:val="21"/>
          <w:szCs w:val="21"/>
        </w:rPr>
        <w:t xml:space="preserve">Le Client loue actuellement son matériel à des particuliers, exclusivement par remise en main propre dans des lieux définis. Une extension future à une clientèle de professionnels est envisagée mais ne fait pas l'objet du présent contrat en l'état.</w:t>
      </w:r>
    </w:p>
    <w:p>
      <w:pPr>
        <w:pStyle w:val="Heading1"/>
        <w:spacing w:after="120" w:before="320"/>
      </w:pPr>
      <w:r>
        <w:t xml:space="preserve">Article 2 — Description des prestations</w:t>
      </w:r>
    </w:p>
    <w:p>
      <w:pPr>
        <w:spacing w:after="160"/>
      </w:pPr>
      <w:r>
        <w:rPr>
          <w:sz w:val="21"/>
          <w:szCs w:val="21"/>
        </w:rPr>
        <w:t xml:space="preserve">Le détail des modules développés, leur contenu fonctionnel et leur valorisation figurent dans le devis annexé au présent contrat (Annexe 1), qui en fait partie intégrante.</w:t>
      </w:r>
    </w:p>
    <w:p>
      <w:pPr>
        <w:spacing w:after="160"/>
      </w:pPr>
      <w:r>
        <w:rPr>
          <w:sz w:val="21"/>
          <w:szCs w:val="21"/>
        </w:rPr>
        <w:t xml:space="preserve">Les modules sont livrés par étapes successives selon l'ordre de priorité défini en annexe. Chaque étape donne lieu à une présentation, une démonstration et une phase de tests avant la mise en production du module suivant.</w:t>
      </w:r>
    </w:p>
    <w:p>
      <w:pPr>
        <w:pStyle w:val="Heading1"/>
        <w:spacing w:after="120" w:before="320"/>
      </w:pPr>
      <w:r>
        <w:t xml:space="preserve">Article 3 — Délais</w:t>
      </w:r>
    </w:p>
    <w:p>
      <w:pPr>
        <w:spacing w:after="160"/>
      </w:pPr>
      <w:r>
        <w:rPr>
          <w:sz w:val="21"/>
          <w:szCs w:val="21"/>
        </w:rPr>
        <w:t xml:space="preserve">Le Prestataire s'engage à une obligation de moyens quant au respect du calendrier. Un objectif indicatif de mise en service de l'ensemble des modules est fixé à fin octobre, sans garantie ferme : ce délai pourra être révisé en fonction des difficultés techniques rencontrées en cours de développement, sous réserve d'en informer le Client dans les meilleurs délais.</w:t>
      </w:r>
    </w:p>
    <w:p>
      <w:pPr>
        <w:pStyle w:val="Heading1"/>
        <w:spacing w:after="120" w:before="320"/>
      </w:pPr>
      <w:r>
        <w:t xml:space="preserve">Article 4 — Conditions financières</w:t>
      </w:r>
    </w:p>
    <w:p>
      <w:pPr>
        <w:spacing w:after="160"/>
      </w:pPr>
      <w:r>
        <w:rPr>
          <w:sz w:val="21"/>
          <w:szCs w:val="21"/>
        </w:rPr>
        <w:t xml:space="preserve">Le Client opte pour les modalités de règlement suivantes (cocher l'option retenue) :</w:t>
      </w:r>
    </w:p>
    <w:p>
      <w:pPr>
        <w:pStyle w:val="ListParagraph"/>
        <w:numPr>
          <w:ilvl w:val="0"/>
          <w:numId w:val="1"/>
        </w:numPr>
        <w:spacing w:after="80"/>
      </w:pPr>
      <w:r>
        <w:t xml:space="preserve">Option A — Paiement intégral du montant du devis selon les modalités usuelles (acompte à la commande, solde à la livraison) ;</w:t>
      </w:r>
    </w:p>
    <w:p>
      <w:pPr>
        <w:pStyle w:val="ListParagraph"/>
        <w:numPr>
          <w:ilvl w:val="0"/>
          <w:numId w:val="1"/>
        </w:numPr>
        <w:spacing w:after="80"/>
      </w:pPr>
      <w:r>
        <w:t xml:space="preserve">Option B — Règlement échelonné : versement de 10 % du montant total du devis à la signature du présent contrat, le solde étant financé par le passage de l'abonnement mensuel du Client de 6 € à 60 € HT/mois.</w:t>
      </w:r>
    </w:p>
    <w:p>
      <w:pPr>
        <w:spacing w:after="160"/>
      </w:pPr>
      <w:r>
        <w:rPr>
          <w:sz w:val="21"/>
          <w:szCs w:val="21"/>
        </w:rPr>
        <w:t xml:space="preserve">En cas d'option B, le Client s'engage sur une durée minimale de douze (12) mois à compter de la mise en service du premier module livré. Toute résiliation anticipée par le Client avant l'échéance des douze mois donnera lieu à la facturation du solde du développement restant dû, calculé au prorata de la période restant à courir.</w:t>
      </w:r>
    </w:p>
    <w:p>
      <w:pPr>
        <w:spacing w:after="160"/>
      </w:pPr>
      <w:r>
        <w:rPr>
          <w:sz w:val="21"/>
          <w:szCs w:val="21"/>
        </w:rPr>
        <w:t xml:space="preserve">Une réduction du montant de l'abonnement mensuel pourra être accordée au Client en cas d'apport de nouveaux clients au Prestataire, selon des modalités à définir d'un commun accord entre les parties et formalisées par avenant.</w:t>
      </w:r>
    </w:p>
    <w:p>
      <w:pPr>
        <w:spacing w:after="160"/>
      </w:pPr>
      <w:r>
        <w:rPr>
          <w:sz w:val="21"/>
          <w:szCs w:val="21"/>
        </w:rPr>
        <w:t xml:space="preserve">Les montants mentionnés s'entendent nets, en franchise en base de TVA (article 293 B du CGI), aucune des deux parties n'étant assujettie à la TVA à ce jour. Les factures émises porteront la mention « TVA non applicable, article 293 B du CGI ». Si l'une des parties venait à dépasser les seuils de la franchise en base, elle en informerait l'autre partie afin d'adapter en conséquence les modalités de facturation.</w:t>
      </w:r>
    </w:p>
    <w:p>
      <w:pPr>
        <w:pStyle w:val="Heading1"/>
        <w:spacing w:after="120" w:before="320"/>
      </w:pPr>
      <w:r>
        <w:t xml:space="preserve">Article 5 — Hébergement et maintenance</w:t>
      </w:r>
    </w:p>
    <w:p>
      <w:pPr>
        <w:spacing w:after="160"/>
      </w:pPr>
      <w:r>
        <w:rPr>
          <w:sz w:val="21"/>
          <w:szCs w:val="21"/>
        </w:rPr>
        <w:t xml:space="preserve">Le Prestataire assure l'hébergement de la plateforme ainsi que sa maintenance corrective pendant toute la durée de l'abonnement. Les évolutions fonctionnelles non prévues au devis initial font l'objet d'un devis complémentaire, sauf accord contraire formalisé par avenant.</w:t>
      </w:r>
    </w:p>
    <w:p>
      <w:pPr>
        <w:pStyle w:val="Heading1"/>
        <w:spacing w:after="120" w:before="320"/>
      </w:pPr>
      <w:r>
        <w:t xml:space="preserve">Article 6 — Propriété intellectuelle</w:t>
      </w:r>
    </w:p>
    <w:p>
      <w:pPr>
        <w:spacing w:after="160"/>
      </w:pPr>
      <w:r>
        <w:rPr>
          <w:sz w:val="21"/>
          <w:szCs w:val="21"/>
        </w:rPr>
        <w:t xml:space="preserve">Le code source, l'architecture technique et les composants réutilisables développés par le Prestataire demeurent la propriété exclusive du Prestataire. Le Client bénéficie d'un droit d'usage non exclusif de la plateforme pour les besoins de son activité, pendant toute la durée du présent contrat et de ses renouvellements.</w:t>
      </w:r>
    </w:p>
    <w:p>
      <w:pPr>
        <w:spacing w:after="160"/>
      </w:pPr>
      <w:r>
        <w:rPr>
          <w:sz w:val="21"/>
          <w:szCs w:val="21"/>
        </w:rPr>
        <w:t xml:space="preserve">En cas de résiliation du contrat, ce droit d'usage cesse. Les conditions d'une éventuelle cession du code ou d'une portabilité des données du Client font l'objet d'une négociation séparée, non couverte par le présent contrat.</w:t>
      </w:r>
    </w:p>
    <w:p>
      <w:pPr>
        <w:pStyle w:val="Heading1"/>
        <w:spacing w:after="120" w:before="320"/>
      </w:pPr>
      <w:r>
        <w:t xml:space="preserve">Article 7 — Données personnelles (RGPD)</w:t>
      </w:r>
    </w:p>
    <w:p>
      <w:pPr>
        <w:spacing w:after="160"/>
      </w:pPr>
      <w:r>
        <w:rPr>
          <w:sz w:val="21"/>
          <w:szCs w:val="21"/>
        </w:rPr>
        <w:t xml:space="preserve">Le Client demeure responsable de traitement au sens du RGPD pour les données de ses propres clients (locataires). Le Prestataire agit en qualité de sous-traitant pour les besoins de l'hébergement et du fonctionnement technique de la plateforme, et s'engage à mettre en œuvre les mesures de sécurité appropriées. Un accord de sous-traitance RGPD distinct pourra être formalisé en complément du présent contrat.</w:t>
      </w:r>
    </w:p>
    <w:p>
      <w:pPr>
        <w:pStyle w:val="Heading1"/>
        <w:spacing w:after="120" w:before="320"/>
      </w:pPr>
      <w:r>
        <w:t xml:space="preserve">Article 8 — Confidentialité</w:t>
      </w:r>
    </w:p>
    <w:p>
      <w:pPr>
        <w:spacing w:after="160"/>
      </w:pPr>
      <w:r>
        <w:rPr>
          <w:sz w:val="21"/>
          <w:szCs w:val="21"/>
        </w:rPr>
        <w:t xml:space="preserve">Chaque partie s'engage à conserver confidentielles les informations de nature commerciale, technique ou financière communiquées par l'autre partie dans le cadre de l'exécution du présent contrat, pendant toute sa durée et pendant deux (2) ans après son terme.</w:t>
      </w:r>
    </w:p>
    <w:p>
      <w:pPr>
        <w:pStyle w:val="Heading1"/>
        <w:spacing w:after="120" w:before="320"/>
      </w:pPr>
      <w:r>
        <w:t xml:space="preserve">Article 9 — Durée et résiliation</w:t>
      </w:r>
    </w:p>
    <w:p>
      <w:pPr>
        <w:spacing w:after="160"/>
      </w:pPr>
      <w:r>
        <w:rPr>
          <w:sz w:val="21"/>
          <w:szCs w:val="21"/>
        </w:rPr>
        <w:t xml:space="preserve">Le présent contrat est conclu pour une durée initiale de douze (12) mois à compter de sa signature, renouvelable ensuite par tacite reconduction pour des périodes successives d'un (1) an, sauf dénonciation par l'une des parties par écrit, avec un préavis de [durée à définir, ex. 2 mois] avant l'échéance.</w:t>
      </w:r>
    </w:p>
    <w:p>
      <w:pPr>
        <w:pStyle w:val="Heading1"/>
        <w:spacing w:after="120" w:before="320"/>
      </w:pPr>
      <w:r>
        <w:t xml:space="preserve">Article 10 — Droit applicable et litiges</w:t>
      </w:r>
    </w:p>
    <w:p>
      <w:pPr>
        <w:spacing w:after="160"/>
      </w:pPr>
      <w:r>
        <w:rPr>
          <w:sz w:val="21"/>
          <w:szCs w:val="21"/>
        </w:rPr>
        <w:t xml:space="preserve">Le présent contrat est soumis au droit français. En cas de litige, les parties s'efforceront de trouver une solution amiable avant toute action contentieuse devant les juridictions compétentes.</w:t>
      </w:r>
    </w:p>
    <w:p>
      <w:pPr>
        <w:pBdr>
          <w:top w:val="single" w:color="CCCCCC" w:sz="6"/>
        </w:pBdr>
        <w:spacing w:before="400"/>
      </w:pPr>
      <w:r>
        <w:rPr>
          <w:sz w:val="20"/>
          <w:szCs w:val="20"/>
        </w:rPr>
        <w:t xml:space="preserve">Fait à _____________________, le _____________________, en deux exemplaires originaux.</w:t>
      </w:r>
    </w:p>
    <w:p>
      <w:pPr>
        <w:spacing w:before="300"/>
      </w:pPr>
      <w:r>
        <w:rPr>
          <w:b/>
          <w:bCs/>
          <w:sz w:val="20"/>
          <w:szCs w:val="20"/>
        </w:rPr>
        <w:t xml:space="preserve">Pour AGON-GATE                                                              Pour Set et Brique</w:t>
      </w:r>
    </w:p>
    <w:p>
      <w:pPr>
        <w:spacing w:before="300"/>
      </w:pPr>
      <w:r>
        <w:rPr>
          <w:sz w:val="20"/>
          <w:szCs w:val="20"/>
        </w:rPr>
        <w:t xml:space="preserve">Alexis Bagarry, Président                                                    Marion Lange-Berteaux</w:t>
      </w:r>
    </w:p>
    <w:p>
      <w:pPr>
        <w:spacing w:before="500"/>
      </w:pPr>
      <w:r>
        <w:rPr>
          <w:i/>
          <w:iCs/>
          <w:color w:val="666666"/>
          <w:sz w:val="18"/>
          <w:szCs w:val="18"/>
        </w:rPr>
        <w:t xml:space="preserve">Signature, précédée de la mention manuscrite « Bon pour accord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24fc5d85e6f43b68cc933715ed476093c127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2026-09-01T19:38:00.997Z</dcterms:created>
  <dcterms:modified xsi:type="dcterms:W3CDTF">2026-09-01T19:38:01.008Z</dcterms:modified>
</cp:coreProperties>
</file>

<file path=docProps/custom.xml><?xml version="1.0" encoding="utf-8"?>
<Properties xmlns="http://schemas.openxmlformats.org/officeDocument/2006/custom-properties" xmlns:vt="http://schemas.openxmlformats.org/officeDocument/2006/docPropsVTypes"/>
</file>