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re1"/>
        <w:bidi w:val="0"/>
        <w:spacing w:before="240" w:after="283"/>
        <w:jc w:val="left"/>
        <w:rPr/>
      </w:pPr>
      <w:r>
        <w:rPr/>
        <w:t>Spécification fonctionnelle — Plateforme de location Set et Brique</w:t>
      </w:r>
    </w:p>
    <w:p>
      <w:pPr>
        <w:pStyle w:val="Citations"/>
        <w:bidi w:val="0"/>
        <w:spacing w:before="0" w:after="283"/>
        <w:ind w:left="567" w:right="567" w:hanging="0"/>
        <w:jc w:val="left"/>
        <w:rPr/>
      </w:pPr>
      <w:r>
        <w:rPr/>
        <w:t>Document interne (AGON-GATE) — à usage d'Alexis et Madus pour le développement. Ne pas diffuser tel quel à la cliente. Basé sur le devis, le contrat et les échanges de cadrage successifs (voir README.md du dépôt pour les points encore ouverts et les décisions reportées en V2).</w:t>
      </w:r>
    </w:p>
    <w:p>
      <w:pPr>
        <w:pStyle w:val="Titre2"/>
        <w:bidi w:val="0"/>
        <w:jc w:val="left"/>
        <w:rPr/>
      </w:pPr>
      <w:r>
        <w:rPr/>
        <w:t>Objectif du document</w:t>
      </w:r>
    </w:p>
    <w:p>
      <w:pPr>
        <w:pStyle w:val="Corpsdetexte"/>
        <w:bidi w:val="0"/>
        <w:spacing w:before="0" w:after="283"/>
        <w:jc w:val="left"/>
        <w:rPr/>
      </w:pPr>
      <w:r>
        <w:rPr/>
        <w:t>Décrire, module par module, les règles métier concrètes à implémenter : statuts, données, comportements attendus, cas limites déjà tranchés, et ce qui reste en attente. Rien dans ce document n'est inventé — tout ce qui n'est pas explicitement confirmé ci-dessous doit être posé en question avant développement plutôt que supposé.</w:t>
      </w:r>
    </w:p>
    <w:p>
      <w:pPr>
        <w:pStyle w:val="Titre2"/>
        <w:bidi w:val="0"/>
        <w:jc w:val="left"/>
        <w:rPr/>
      </w:pPr>
      <w:r>
        <w:rPr/>
        <w:t>Légende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Règle confirmée, prête à développer. 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En attente d'une réponse de la cliente (Marion) — cf. document « Questions — récap client ». </w:t>
      </w:r>
    </w:p>
    <w:p>
      <w:pPr>
        <w:pStyle w:val="Corpsdetexte"/>
        <w:numPr>
          <w:ilvl w:val="0"/>
          <w:numId w:val="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Reporté à une V2, ne pas développer maintenant.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1. Location pure — catalogue &amp; stock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Fiche article (par set) — champs :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Nom, référence LEGO officielle, nombre de pièces, âge conseillé, photo(s), état (neuf/occasion), valeur de remplacement (sert de base à la caution).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Champ commentaire libre, </w:t>
      </w:r>
      <w:r>
        <w:rPr>
          <w:rStyle w:val="Accentuationforte"/>
        </w:rPr>
        <w:t>visible côté client</w:t>
      </w:r>
      <w:r>
        <w:rPr/>
        <w:t xml:space="preserve"> sur la fiche du set.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Poids du set : stocké en interne (utile à la vérification au retour, module 8), mais </w:t>
      </w:r>
      <w:r>
        <w:rPr>
          <w:rStyle w:val="Accentuationforte"/>
        </w:rPr>
        <w:t>jamais affiché côté client</w:t>
      </w:r>
      <w:r>
        <w:rPr/>
        <w:t xml:space="preserve"> — décision volontaire pour éviter que les locataires ne devinent le contenu exact des sachets pesés. </w:t>
      </w:r>
    </w:p>
    <w:p>
      <w:pPr>
        <w:pStyle w:val="Corpsdetexte"/>
        <w:numPr>
          <w:ilvl w:val="0"/>
          <w:numId w:val="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Nombre de photos à afficher par set : proposition 3 à 4 par défaut, à confirmer avec Marion.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Stock :</w:t>
      </w:r>
    </w:p>
    <w:p>
      <w:pPr>
        <w:pStyle w:val="Corpsdetexte"/>
        <w:numPr>
          <w:ilvl w:val="0"/>
          <w:numId w:val="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Un seul exemplaire par référence aujourd'hui (~25 références au catalogue, ajout moyen de 0,5/mois), mais le modèle de données doit prévoir le multi-stock (plusieurs exemplaires d'une même référence) pour une évolution future — ne pas coder en dur « quantité = 1 ».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Statuts d'un set :</w:t>
      </w:r>
    </w:p>
    <w:p>
      <w:pPr>
        <w:pStyle w:val="Corpsdetexte"/>
        <w:numPr>
          <w:ilvl w:val="0"/>
          <w:numId w:val="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>
          <w:rStyle w:val="Textesource"/>
        </w:rPr>
        <w:t>Disponible</w:t>
      </w:r>
      <w:r>
        <w:rPr/>
        <w:t xml:space="preserve"> / </w:t>
      </w:r>
      <w:r>
        <w:rPr>
          <w:rStyle w:val="Textesource"/>
        </w:rPr>
        <w:t>Location</w:t>
      </w:r>
      <w:r>
        <w:rPr/>
        <w:t xml:space="preserve"> / </w:t>
      </w:r>
      <w:r>
        <w:rPr>
          <w:rStyle w:val="Textesource"/>
        </w:rPr>
        <w:t>Battement</w:t>
      </w:r>
      <w:r>
        <w:rPr/>
        <w:t xml:space="preserve"> / </w:t>
      </w:r>
      <w:r>
        <w:rPr>
          <w:rStyle w:val="Textesource"/>
        </w:rPr>
        <w:t>Réparation</w:t>
      </w:r>
      <w:r>
        <w:rPr/>
        <w:t xml:space="preserve"> / </w:t>
      </w:r>
      <w:r>
        <w:rPr>
          <w:rStyle w:val="Textesource"/>
        </w:rPr>
        <w:t>Retiré</w:t>
      </w:r>
      <w:r>
        <w:rPr/>
        <w:t xml:space="preserve">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Délai de battement (entre deux locations) :</w:t>
      </w:r>
    </w:p>
    <w:p>
      <w:pPr>
        <w:pStyle w:val="Corpsdetexte"/>
        <w:numPr>
          <w:ilvl w:val="0"/>
          <w:numId w:val="5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Réglable individuellement par set (valeur par défaut 4 jours), modifiable par Marion elle-même depuis le back-office.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Hors périmètre :</w:t>
      </w:r>
    </w:p>
    <w:p>
      <w:pPr>
        <w:pStyle w:val="Corpsdetexte"/>
        <w:numPr>
          <w:ilvl w:val="0"/>
          <w:numId w:val="6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Suivi des colis envoyés/reçus — retiré, sans objet en V1 (100 % remise en main propre).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2. Planning des locations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planning est </w:t>
      </w:r>
      <w:r>
        <w:rPr>
          <w:rStyle w:val="Accentuationforte"/>
        </w:rPr>
        <w:t>propre à chaque lieu de retrait</w:t>
      </w:r>
      <w:r>
        <w:rPr/>
        <w:t xml:space="preserve"> (une seule personne fait les remises, donc impossible d'être sur deux lieux en même temps sur le même créneau).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Un client ne peut réserver que l'une des 4 durées fixes du tarif (4j / 7j / 15j / 1 mois) — pas de durée libre dans le tunnel. Un besoin différent passe par une demande de contact par email, hors outil.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🔜 </w:t>
      </w:r>
      <w:r>
        <w:rPr>
          <w:rStyle w:val="Accentuationforte"/>
        </w:rPr>
        <w:t>Prolongation d'une location en cours</w:t>
      </w:r>
      <w:r>
        <w:rPr/>
        <w:t xml:space="preserve"> : souhaitée par Marion mais reportée en V2. Le cas du conflit avec une réservation déjà prise juste après (comment refuser/renégocier sans léser le client suivant) reste à trancher à ce moment-là. </w:t>
      </w:r>
    </w:p>
    <w:p>
      <w:pPr>
        <w:pStyle w:val="Corpsdetexte"/>
        <w:numPr>
          <w:ilvl w:val="0"/>
          <w:numId w:val="7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Marion doit-elle pouvoir bloquer des dates à l'avance sur le planning (vacances, indisponibilité générale), indépendamment du statut de chaque set ? Non tranché — remonté par Madus en lien avec le délai minimum de réservation.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3. Comptes clients &amp; espace de suivi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Inscription — champs obligatoires :</w:t>
      </w:r>
    </w:p>
    <w:p>
      <w:pPr>
        <w:pStyle w:val="Corpsdetexte"/>
        <w:numPr>
          <w:ilvl w:val="0"/>
          <w:numId w:val="8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Nom, prénom, email, téléphone, adresse postale (informations nécessaires à la facturation). Rien de plus (pas de date de naissance, etc.).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Locations simultanées :</w:t>
      </w:r>
    </w:p>
    <w:p>
      <w:pPr>
        <w:pStyle w:val="Corpsdetexte"/>
        <w:numPr>
          <w:ilvl w:val="0"/>
          <w:numId w:val="9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Un client peut-il avoir plusieurs locations actives en même temps, ou une seule à la fois ? Non tranché, question posée à Marion.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Compte bloqué :</w:t>
      </w:r>
    </w:p>
    <w:p>
      <w:pPr>
        <w:pStyle w:val="Corpsdetexte"/>
        <w:numPr>
          <w:ilvl w:val="0"/>
          <w:numId w:val="10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Statut « compte bloqué » à prévoir, activé/désactivé </w:t>
      </w:r>
      <w:r>
        <w:rPr>
          <w:rStyle w:val="Accentuationforte"/>
        </w:rPr>
        <w:t>manuellement par Marion</w:t>
      </w:r>
      <w:r>
        <w:rPr/>
        <w:t xml:space="preserve"> depuis le back-office (ex. set non rendu, litige en cours) — empêche toute nouvelle réservation tant qu'il est actif.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Espace de suivi (fusion de l'ancien module « Espace client ») :</w:t>
      </w:r>
    </w:p>
    <w:p>
      <w:pPr>
        <w:pStyle w:val="Corpsdetexte"/>
        <w:numPr>
          <w:ilvl w:val="0"/>
          <w:numId w:val="1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Le client voit l'avancement de ses locations en cours : prochaine date de retrait, set concerné, statut récupéré / à rendre, date de retour prévue, retard éventuel.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4. Paiement Stripe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Modes de paiement du loyer :</w:t>
      </w:r>
    </w:p>
    <w:p>
      <w:pPr>
        <w:pStyle w:val="Corpsdetexte"/>
        <w:numPr>
          <w:ilvl w:val="0"/>
          <w:numId w:val="1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Deux modes possibles : paiement en ligne (Stripe, prélevé </w:t>
      </w:r>
      <w:r>
        <w:rPr>
          <w:rStyle w:val="Accentuationforte"/>
        </w:rPr>
        <w:t>à la réservation</w:t>
      </w:r>
      <w:r>
        <w:rPr/>
        <w:t xml:space="preserve">), ou paiement sur place par </w:t>
      </w:r>
      <w:r>
        <w:rPr>
          <w:rStyle w:val="Accentuationforte"/>
        </w:rPr>
        <w:t>TPE</w:t>
      </w:r>
      <w:r>
        <w:rPr/>
        <w:t xml:space="preserve"> au moment de la remise en main propre.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Caution :</w:t>
      </w:r>
    </w:p>
    <w:p>
      <w:pPr>
        <w:pStyle w:val="Corpsdetexte"/>
        <w:numPr>
          <w:ilvl w:val="0"/>
          <w:numId w:val="13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Toujours en </w:t>
      </w:r>
      <w:r>
        <w:rPr>
          <w:rStyle w:val="Accentuationforte"/>
        </w:rPr>
        <w:t>pré-autorisation</w:t>
      </w:r>
      <w:r>
        <w:rPr/>
        <w:t xml:space="preserve">, jamais débitée sauf litige. </w:t>
      </w:r>
    </w:p>
    <w:p>
      <w:pPr>
        <w:pStyle w:val="Corpsdetexte"/>
        <w:numPr>
          <w:ilvl w:val="0"/>
          <w:numId w:val="1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Si le loyer est payé par TPE sur place, comment se fait la pré-autorisation de la caution (carte enregistrée en amont côté client tout de même) ? Question posée à Marion.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Hors périmètre :</w:t>
      </w:r>
    </w:p>
    <w:p>
      <w:pPr>
        <w:pStyle w:val="Corpsdetexte"/>
        <w:numPr>
          <w:ilvl w:val="0"/>
          <w:numId w:val="1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Pas d'option d'assurance/protection additionnelle — la caution est la seule protection.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Cas d'échec / abandon :</w:t>
      </w:r>
    </w:p>
    <w:p>
      <w:pPr>
        <w:pStyle w:val="Corpsdetexte"/>
        <w:numPr>
          <w:ilvl w:val="0"/>
          <w:numId w:val="15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Échec du paiement en ligne (carte refusée) → créneau bloqué </w:t>
      </w:r>
      <w:r>
        <w:rPr>
          <w:rStyle w:val="Accentuationforte"/>
        </w:rPr>
        <w:t>1h</w:t>
      </w:r>
      <w:r>
        <w:rPr/>
        <w:t xml:space="preserve"> le temps que le client trouve une solution. </w:t>
      </w:r>
    </w:p>
    <w:p>
      <w:pPr>
        <w:pStyle w:val="Corpsdetexte"/>
        <w:numPr>
          <w:ilvl w:val="0"/>
          <w:numId w:val="15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Abandon en cours de paiement (avant tentative) → créneau libéré après </w:t>
      </w:r>
      <w:r>
        <w:rPr>
          <w:rStyle w:val="Accentuationforte"/>
        </w:rPr>
        <w:t>15 min</w:t>
      </w:r>
      <w:r>
        <w:rPr/>
        <w:t xml:space="preserve">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5. Tunnel de réservation client</w:t>
      </w:r>
    </w:p>
    <w:p>
      <w:pPr>
        <w:pStyle w:val="Corpsdetexte"/>
        <w:numPr>
          <w:ilvl w:val="0"/>
          <w:numId w:val="16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Parcours : sélection du set → choix de la durée (4 options fixes) → choix du créneau de retrait → paiement (en ligne ou « à la remise par TPE »). </w:t>
      </w:r>
    </w:p>
    <w:p>
      <w:pPr>
        <w:pStyle w:val="Corpsdetexte"/>
        <w:numPr>
          <w:ilvl w:val="0"/>
          <w:numId w:val="16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En V1, tous les sets sont disponibles à tous les lieux de retrait (pas de restriction géographique par set).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6. Contrat de location / conditions générales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Contrat généré automatiquement (PDF) à chaque réservation</w:t>
      </w:r>
      <w:r>
        <w:rPr/>
        <w:t xml:space="preserve"> — pas un simple texte CGL statique. Le PDF doit reprendre les mentions légales, le set loué, la durée, les dates de retrait/retour et le montant. Réutiliser le même mécanisme de génération PDF que les factures (module 7) est probablement pertinent. 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Acceptation par </w:t>
      </w:r>
      <w:r>
        <w:rPr>
          <w:rStyle w:val="Accentuationforte"/>
        </w:rPr>
        <w:t>simple case à cocher</w:t>
      </w:r>
      <w:r>
        <w:rPr/>
        <w:t xml:space="preserve"> (« J'accepte les conditions générales ») avant validation de la commande — pas de signature électronique nominative en V1. C'est cette acceptation qui déclenche la génération du contrat. 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document physique remis dans la boîte lors du prêt (avertissement d'âge conseillé) est </w:t>
      </w:r>
      <w:r>
        <w:rPr>
          <w:rStyle w:val="Accentuationforte"/>
        </w:rPr>
        <w:t>géré indépendamment par Marion</w:t>
      </w:r>
      <w:r>
        <w:rPr/>
        <w:t xml:space="preserve">, hors système — rien à générer côté plateforme. 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⏳ </w:t>
      </w:r>
      <w:r>
        <w:rPr/>
        <w:t xml:space="preserve">Le contenu légal exact du contrat (barèmes de pénalités, annulation, retard) dépend des réponses de Marion — </w:t>
      </w:r>
      <w:r>
        <w:rPr>
          <w:rStyle w:val="Accentuationforte"/>
        </w:rPr>
        <w:t>le moteur de génération PDF peut être développé dès maintenant, mais le texte légal définitif ne pourra être finalisé qu'après ses réponses</w:t>
      </w:r>
      <w:r>
        <w:rPr/>
        <w:t xml:space="preserve">. </w:t>
      </w:r>
    </w:p>
    <w:p>
      <w:pPr>
        <w:pStyle w:val="Corpsdetexte"/>
        <w:numPr>
          <w:ilvl w:val="0"/>
          <w:numId w:val="17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Prix du module inchangé (300 €) malgré ce développement plus conséquent que la case à cocher initialement prévue — décision d'Alexis d'absorber le coût dans le forfait.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7. Facturation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Nouvelle numérotation de factures, </w:t>
      </w:r>
      <w:r>
        <w:rPr>
          <w:rStyle w:val="Accentuationforte"/>
        </w:rPr>
        <w:t>repart de zéro</w:t>
      </w:r>
      <w:r>
        <w:rPr/>
        <w:t xml:space="preserve"> (pas de reprise de Poppins ou d'une séquence existante).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Facture générée uniquement une fois le paiement confirmé : </w:t>
      </w:r>
    </w:p>
    <w:p>
      <w:pPr>
        <w:pStyle w:val="Corpsdetexte"/>
        <w:numPr>
          <w:ilvl w:val="1"/>
          <w:numId w:val="18"/>
        </w:numPr>
        <w:tabs>
          <w:tab w:val="clear" w:pos="1134"/>
          <w:tab w:val="left" w:pos="1414" w:leader="none"/>
        </w:tabs>
        <w:bidi w:val="0"/>
        <w:spacing w:before="0" w:after="0"/>
        <w:ind w:left="1414" w:hanging="283"/>
        <w:jc w:val="left"/>
        <w:rPr/>
      </w:pPr>
      <w:r>
        <w:rPr/>
        <w:t xml:space="preserve">automatiquement pour un paiement en ligne ; </w:t>
      </w:r>
    </w:p>
    <w:p>
      <w:pPr>
        <w:pStyle w:val="Corpsdetexte"/>
        <w:numPr>
          <w:ilvl w:val="1"/>
          <w:numId w:val="18"/>
        </w:numPr>
        <w:tabs>
          <w:tab w:val="clear" w:pos="1134"/>
          <w:tab w:val="left" w:pos="1414" w:leader="none"/>
        </w:tabs>
        <w:bidi w:val="0"/>
        <w:spacing w:before="0" w:after="0"/>
        <w:ind w:left="1414" w:hanging="283"/>
        <w:jc w:val="left"/>
        <w:rPr/>
      </w:pPr>
      <w:r>
        <w:rPr/>
        <w:t xml:space="preserve">après que Marion ait marqué manuellement la réservation « payée » sur le site, pour un paiement TPE sur place.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>
          <w:rStyle w:val="Accentuationforte"/>
        </w:rPr>
        <w:t>Jamais de facture avant paiement effectif.</w:t>
      </w:r>
      <w:r>
        <w:rPr/>
        <w:t xml:space="preserve"> </w:t>
      </w:r>
    </w:p>
    <w:p>
      <w:pPr>
        <w:pStyle w:val="Corpsdetexte"/>
        <w:numPr>
          <w:ilvl w:val="0"/>
          <w:numId w:val="18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Export comptable complet (format, fréquence) : non défini, Marion n'a pas d'outil de comptabilité précis à ce jour — reporté en V2 (voir aussi module 10 pour l'export simple des ventes, inclus en V1).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8. État des lieux &amp; gestion des dommages</w:t>
      </w:r>
    </w:p>
    <w:p>
      <w:pPr>
        <w:pStyle w:val="Corpsdetexte"/>
        <w:bidi w:val="0"/>
        <w:spacing w:before="0" w:after="283"/>
        <w:jc w:val="left"/>
        <w:rPr/>
      </w:pPr>
      <w:r>
        <w:rPr>
          <w:rStyle w:val="Accentuationforte"/>
        </w:rPr>
        <w:t>Processus de retour :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Le client dépose physiquement le set, sans déclaration formelle à faire (il peut signaler un souci à l'oral, ce n'est pas obligatoire).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Marion réalise l'état des lieux </w:t>
      </w:r>
      <w:r>
        <w:rPr>
          <w:rStyle w:val="Accentuationforte"/>
        </w:rPr>
        <w:t>plus tard</w:t>
      </w:r>
      <w:r>
        <w:rPr/>
        <w:t xml:space="preserve">, généralement le soir même — c'est elle seule qui valide si le set est rentré en bon état. </w:t>
      </w:r>
    </w:p>
    <w:p>
      <w:pPr>
        <w:pStyle w:val="Corpsdetexte"/>
        <w:numPr>
          <w:ilvl w:val="0"/>
          <w:numId w:val="19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Cette validation déclenche le compte à rebours des 48h avant libération automatique de la caution (cf. module 4). </w:t>
      </w:r>
    </w:p>
    <w:p>
      <w:pPr>
        <w:pStyle w:val="Corpsdetexte"/>
        <w:bidi w:val="0"/>
        <w:jc w:val="left"/>
        <w:rPr/>
      </w:pPr>
      <w:r>
        <w:rPr>
          <w:rStyle w:val="Accentuationforte"/>
        </w:rPr>
        <w:t>Barème de pénalité :</w:t>
      </w:r>
    </w:p>
    <w:p>
      <w:pPr>
        <w:pStyle w:val="Corpsdetexte"/>
        <w:numPr>
          <w:ilvl w:val="0"/>
          <w:numId w:val="20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⏳ </w:t>
      </w:r>
      <w:r>
        <w:rPr/>
        <w:t xml:space="preserve">Non tranché (pièce manquante/cassée) — </w:t>
      </w:r>
      <w:r>
        <w:rPr>
          <w:rStyle w:val="Accentuationforte"/>
        </w:rPr>
        <w:t>ne pas développer les prélèvements automatiques sur caution avant réponse de Marion</w:t>
      </w:r>
      <w:r>
        <w:rPr/>
        <w:t xml:space="preserve">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9. Notifications automatisées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Canal : email uniquement en V1 (pas de SMS).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Rappel avant retour : envoyé </w:t>
      </w:r>
      <w:r>
        <w:rPr>
          <w:rStyle w:val="Accentuationforte"/>
        </w:rPr>
        <w:t>48h avant</w:t>
      </w:r>
      <w:r>
        <w:rPr/>
        <w:t xml:space="preserve"> la date de retour prévue.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Relance en cas de retard : démarre </w:t>
      </w:r>
      <w:r>
        <w:rPr>
          <w:rStyle w:val="Accentuationforte"/>
        </w:rPr>
        <w:t>le lendemain</w:t>
      </w:r>
      <w:r>
        <w:rPr/>
        <w:t xml:space="preserve"> de la date de retour dépassée (vers 10h), puis </w:t>
      </w:r>
      <w:r>
        <w:rPr>
          <w:rStyle w:val="Accentuationforte"/>
        </w:rPr>
        <w:t>se répète chaque jour</w:t>
      </w:r>
      <w:r>
        <w:rPr/>
        <w:t xml:space="preserve"> tant que le set n'est pas rendu. </w:t>
      </w:r>
    </w:p>
    <w:p>
      <w:pPr>
        <w:pStyle w:val="Corpsdetexte"/>
        <w:numPr>
          <w:ilvl w:val="0"/>
          <w:numId w:val="21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Textes des emails rédigés par défaut par AGON-GATE, mais </w:t>
      </w:r>
      <w:r>
        <w:rPr>
          <w:rStyle w:val="Accentuationforte"/>
        </w:rPr>
        <w:t>Marion doit pouvoir les modifier elle-même</w:t>
      </w:r>
      <w:r>
        <w:rPr/>
        <w:t xml:space="preserve"> — prévoir un éditeur de templates dans le back-office.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10. Back-office &amp; reporting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Deux comptes d'accès en V1 : Alexis (admin), Marion (compte propriétaire). Pas d'autre utilisateur prévu pour l'instant. 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Tableau de bord : chiffre d'affaires du mois, taux d'occupation par set, sets les plus loués. 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Export simple des ventes par année civile, inclus en V1 (distinct de l'export comptable complet, qui reste en V2). Modèle de données : une </w:t>
      </w:r>
      <w:r>
        <w:rPr>
          <w:rStyle w:val="Accentuationforte"/>
        </w:rPr>
        <w:t>vente</w:t>
      </w:r>
      <w:r>
        <w:rPr/>
        <w:t xml:space="preserve"> est un nœud entre un </w:t>
      </w:r>
      <w:r>
        <w:rPr>
          <w:rStyle w:val="Accentuationforte"/>
        </w:rPr>
        <w:t>set</w:t>
      </w:r>
      <w:r>
        <w:rPr/>
        <w:t xml:space="preserve">, une </w:t>
      </w:r>
      <w:r>
        <w:rPr>
          <w:rStyle w:val="Accentuationforte"/>
        </w:rPr>
        <w:t>durée</w:t>
      </w:r>
      <w:r>
        <w:rPr/>
        <w:t xml:space="preserve"> et un </w:t>
      </w:r>
      <w:r>
        <w:rPr>
          <w:rStyle w:val="Accentuationforte"/>
        </w:rPr>
        <w:t>client</w:t>
      </w:r>
      <w:r>
        <w:rPr/>
        <w:t xml:space="preserve"> — c'est cet élément qui doit être interrogeable en base pour produire cet export. </w:t>
      </w:r>
    </w:p>
    <w:p>
      <w:pPr>
        <w:pStyle w:val="Corpsdetexte"/>
        <w:numPr>
          <w:ilvl w:val="0"/>
          <w:numId w:val="22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🔜 </w:t>
      </w:r>
      <w:r>
        <w:rPr/>
        <w:t xml:space="preserve">Export comptable complet (format lié à un outil de comptabilité) : reporté en V2, Marion n'a pas d'outil précis à ce jour.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11. Intégration, tests, déploiement, formation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✅ </w:t>
      </w:r>
      <w:r>
        <w:rPr/>
        <w:t xml:space="preserve">Formation destinée à Marion uniquement. </w:t>
      </w:r>
    </w:p>
    <w:p>
      <w:pPr>
        <w:pStyle w:val="Corpsdetexte"/>
        <w:numPr>
          <w:ilvl w:val="0"/>
          <w:numId w:val="23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✅ </w:t>
      </w:r>
      <w:r>
        <w:rPr/>
        <w:t xml:space="preserve">Format : documentation écrite + sessions en présentiel chez elle (pas de visio prévue). </w:t>
      </w:r>
    </w:p>
    <w:p>
      <w:pPr>
        <w:pStyle w:val="Lignehorizontale"/>
        <w:bidi w:val="0"/>
        <w:jc w:val="left"/>
        <w:rPr/>
      </w:pPr>
      <w:r>
        <w:rPr/>
      </w:r>
    </w:p>
    <w:p>
      <w:pPr>
        <w:pStyle w:val="Titre2"/>
        <w:bidi w:val="0"/>
        <w:jc w:val="left"/>
        <w:rPr/>
      </w:pPr>
      <w:r>
        <w:rPr/>
        <w:t>Récapitulatif des points bloquants (⏳ en attente de Marion)</w:t>
      </w:r>
    </w:p>
    <w:p>
      <w:pPr>
        <w:pStyle w:val="Corpsdetexte"/>
        <w:bidi w:val="0"/>
        <w:spacing w:before="0" w:after="283"/>
        <w:jc w:val="left"/>
        <w:rPr/>
      </w:pPr>
      <w:r>
        <w:rPr/>
        <w:t>Ne pas démarrer les modules 6 et 8 tant que les barèmes ne sont pas connus :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Barème de pénalité en cas de pièce manquante ou cassée (modules 6, 8).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Politique d'annulation (module 6).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Pénalité de retard de retour (modules 6, 8).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Délai minimum entre réservation et retrait (modules 2, 5).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Gestion du client suivant en cas de non-retour dans les temps (modules 1, 2).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Locations simultanées par client — oui/non (module 3).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Pré-autorisation de la caution en cas de paiement TPE sur place (module 4).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Nombre de photos par set à afficher (proposition 3-4) (module 1). </w:t>
      </w:r>
    </w:p>
    <w:p>
      <w:pPr>
        <w:pStyle w:val="Corpsdetexte"/>
        <w:numPr>
          <w:ilvl w:val="0"/>
          <w:numId w:val="24"/>
        </w:numPr>
        <w:tabs>
          <w:tab w:val="clear" w:pos="1134"/>
          <w:tab w:val="left" w:pos="707" w:leader="none"/>
        </w:tabs>
        <w:bidi w:val="0"/>
        <w:ind w:left="707" w:hanging="283"/>
        <w:jc w:val="left"/>
        <w:rPr/>
      </w:pPr>
      <w:r>
        <w:rPr/>
        <w:t xml:space="preserve">Blocage de dates à l'avance sur le planning par Marion, vacances/indisponibilité (module 2). </w:t>
      </w:r>
    </w:p>
    <w:p>
      <w:pPr>
        <w:pStyle w:val="Titre2"/>
        <w:bidi w:val="0"/>
        <w:jc w:val="left"/>
        <w:rPr/>
      </w:pPr>
      <w:r>
        <w:rPr/>
        <w:t>Récapitulatif des points reportés en V2 (🔜)</w:t>
      </w:r>
    </w:p>
    <w:p>
      <w:pPr>
        <w:pStyle w:val="Corpsdetexte"/>
        <w:numPr>
          <w:ilvl w:val="0"/>
          <w:numId w:val="25"/>
        </w:numPr>
        <w:tabs>
          <w:tab w:val="clear" w:pos="1134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 xml:space="preserve">Prolongation d'une location en cours (module 2). </w:t>
      </w:r>
    </w:p>
    <w:p>
      <w:pPr>
        <w:pStyle w:val="Corpsdetexte"/>
        <w:numPr>
          <w:ilvl w:val="0"/>
          <w:numId w:val="25"/>
        </w:numPr>
        <w:tabs>
          <w:tab w:val="clear" w:pos="1134"/>
          <w:tab w:val="left" w:pos="707" w:leader="none"/>
        </w:tabs>
        <w:bidi w:val="0"/>
        <w:spacing w:before="0" w:after="283"/>
        <w:ind w:left="707" w:hanging="283"/>
        <w:jc w:val="left"/>
        <w:rPr/>
      </w:pPr>
      <w:r>
        <w:rPr/>
        <w:t xml:space="preserve">Export comptable complet (modules 7, 10) — l'export simple des ventes par année civile, lui, est inclus en V1 (module 10). </w:t>
      </w:r>
    </w:p>
    <w:sectPr>
      <w:type w:val="nextPage"/>
      <w:pgSz w:w="11906" w:h="16838"/>
      <w:pgMar w:left="1134" w:right="567" w:header="0" w:top="567" w:footer="0" w:bottom="567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 Unicode MS">
    <w:charset w:val="00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0"/>
    <w:family w:val="modern"/>
    <w:pitch w:val="fixed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07"/>
        </w:tabs>
        <w:ind w:left="707" w:hanging="283"/>
      </w:pPr>
      <w:rPr/>
    </w:lvl>
    <w:lvl w:ilvl="1">
      <w:start w:val="1"/>
      <w:numFmt w:val="decimal"/>
      <w:lvlText w:val="%2."/>
      <w:lvlJc w:val="left"/>
      <w:pPr>
        <w:tabs>
          <w:tab w:val="num" w:pos="1414"/>
        </w:tabs>
        <w:ind w:left="1414" w:hanging="283"/>
      </w:pPr>
      <w:rPr/>
    </w:lvl>
    <w:lvl w:ilvl="2">
      <w:start w:val="1"/>
      <w:numFmt w:val="decimal"/>
      <w:lvlText w:val="%3."/>
      <w:lvlJc w:val="left"/>
      <w:pPr>
        <w:tabs>
          <w:tab w:val="num" w:pos="2121"/>
        </w:tabs>
        <w:ind w:left="2121" w:hanging="283"/>
      </w:pPr>
      <w:rPr/>
    </w:lvl>
    <w:lvl w:ilvl="3">
      <w:start w:val="1"/>
      <w:numFmt w:val="decimal"/>
      <w:lvlText w:val="%4."/>
      <w:lvlJc w:val="left"/>
      <w:pPr>
        <w:tabs>
          <w:tab w:val="num" w:pos="2828"/>
        </w:tabs>
        <w:ind w:left="2828" w:hanging="283"/>
      </w:pPr>
      <w:rPr/>
    </w:lvl>
    <w:lvl w:ilvl="4">
      <w:start w:val="1"/>
      <w:numFmt w:val="decimal"/>
      <w:lvlText w:val="%5."/>
      <w:lvlJc w:val="left"/>
      <w:pPr>
        <w:tabs>
          <w:tab w:val="num" w:pos="3535"/>
        </w:tabs>
        <w:ind w:left="3535" w:hanging="283"/>
      </w:pPr>
      <w:rPr/>
    </w:lvl>
    <w:lvl w:ilvl="5">
      <w:start w:val="1"/>
      <w:numFmt w:val="decimal"/>
      <w:lvlText w:val="%6."/>
      <w:lvlJc w:val="left"/>
      <w:pPr>
        <w:tabs>
          <w:tab w:val="num" w:pos="4242"/>
        </w:tabs>
        <w:ind w:left="4242" w:hanging="283"/>
      </w:pPr>
      <w:rPr/>
    </w:lvl>
    <w:lvl w:ilvl="6">
      <w:start w:val="1"/>
      <w:numFmt w:val="decimal"/>
      <w:lvlText w:val="%7."/>
      <w:lvlJc w:val="left"/>
      <w:pPr>
        <w:tabs>
          <w:tab w:val="num" w:pos="4949"/>
        </w:tabs>
        <w:ind w:left="4949" w:hanging="283"/>
      </w:pPr>
      <w:rPr/>
    </w:lvl>
    <w:lvl w:ilvl="7">
      <w:start w:val="1"/>
      <w:numFmt w:val="decimal"/>
      <w:lvlText w:val="%8."/>
      <w:lvlJc w:val="left"/>
      <w:pPr>
        <w:tabs>
          <w:tab w:val="num" w:pos="5656"/>
        </w:tabs>
        <w:ind w:left="5656" w:hanging="283"/>
      </w:pPr>
      <w:rPr/>
    </w:lvl>
    <w:lvl w:ilvl="8">
      <w:start w:val="1"/>
      <w:numFmt w:val="decimal"/>
      <w:lvlText w:val="%9."/>
      <w:lvlJc w:val="left"/>
      <w:pPr>
        <w:tabs>
          <w:tab w:val="num" w:pos="6363"/>
        </w:tabs>
        <w:ind w:left="6363" w:hanging="283"/>
      </w:pPr>
      <w:rPr/>
    </w:lvl>
  </w:abstractNum>
  <w:abstractNum w:abstractNumId="2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fr-FR" w:eastAsia="zh-CN" w:bidi="hi-IN"/>
    </w:rPr>
  </w:style>
  <w:style w:type="paragraph" w:styleId="Titre1">
    <w:name w:val="Heading 1"/>
    <w:basedOn w:val="Titre"/>
    <w:next w:val="Corpsdetexte"/>
    <w:qFormat/>
    <w:pPr/>
    <w:rPr>
      <w:rFonts w:ascii="Liberation Sans Unicode MS" w:hAnsi="Liberation Sans Unicode MS"/>
      <w:b/>
      <w:bCs/>
      <w:sz w:val="48"/>
      <w:szCs w:val="44"/>
    </w:rPr>
  </w:style>
  <w:style w:type="paragraph" w:styleId="Titre2">
    <w:name w:val="Heading 2"/>
    <w:basedOn w:val="Titre"/>
    <w:next w:val="Corpsdetexte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character" w:styleId="Caractresdenotedefin">
    <w:name w:val="Caractères de note de fin"/>
    <w:qFormat/>
    <w:rPr/>
  </w:style>
  <w:style w:type="character" w:styleId="Caractresdenotedebasdepage">
    <w:name w:val="Caractères de note de bas de page"/>
    <w:qFormat/>
    <w:rPr/>
  </w:style>
  <w:style w:type="character" w:styleId="LienInternet">
    <w:name w:val="Lien Internet"/>
    <w:rPr>
      <w:color w:val="000080"/>
      <w:u w:val="single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Accentuationforte">
    <w:name w:val="Accentuation forte"/>
    <w:qFormat/>
    <w:rPr>
      <w:b/>
      <w:bCs/>
    </w:rPr>
  </w:style>
  <w:style w:type="character" w:styleId="Textesource">
    <w:name w:val="Texte source"/>
    <w:qFormat/>
    <w:rPr>
      <w:rFonts w:ascii="Liberation Mono" w:hAnsi="Liberation Mono" w:eastAsia="NSimSun" w:cs="Liberation Mono"/>
    </w:rPr>
  </w:style>
  <w:style w:type="character" w:styleId="Caractresdenumrotation">
    <w:name w:val="Caractères de numérotation"/>
    <w:qFormat/>
    <w:rPr/>
  </w:style>
  <w:style w:type="paragraph" w:styleId="Lignehorizontale">
    <w:name w:val="Ligne horizontale"/>
    <w:basedOn w:val="Normal"/>
    <w:next w:val="Corpsdetexte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xpditeur">
    <w:name w:val="Envelope Return"/>
    <w:basedOn w:val="Normal"/>
    <w:pPr/>
    <w:rPr>
      <w:i/>
    </w:rPr>
  </w:style>
  <w:style w:type="paragraph" w:styleId="Contenudetableau">
    <w:name w:val="Contenu de tableau"/>
    <w:basedOn w:val="Corpsdetexte"/>
    <w:qFormat/>
    <w:pPr/>
    <w:rPr/>
  </w:style>
  <w:style w:type="paragraph" w:styleId="Pieddepage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tte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Entteetpieddepage">
    <w:name w:val="En-tête et pied de page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e">
    <w:name w:val="List"/>
    <w:basedOn w:val="Corpsdetexte"/>
    <w:pPr/>
    <w:rPr>
      <w:rFonts w:cs="Arial"/>
    </w:rPr>
  </w:style>
  <w:style w:type="paragraph" w:styleId="Corpsdetexte">
    <w:name w:val="Body Text"/>
    <w:basedOn w:val="Normal"/>
    <w:pPr>
      <w:spacing w:before="0" w:after="283"/>
    </w:pPr>
    <w:rPr/>
  </w:style>
  <w:style w:type="paragraph" w:styleId="Titre">
    <w:name w:val="Titre"/>
    <w:basedOn w:val="Normal"/>
    <w:next w:val="Corpsdetexte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Citations">
    <w:name w:val="Citations"/>
    <w:basedOn w:val="Normal"/>
    <w:qFormat/>
    <w:pPr>
      <w:spacing w:before="0" w:after="283"/>
      <w:ind w:left="567" w:right="567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LibreOffice/7.0.1.2$Windows_X86_64 LibreOffice_project/7cbcfc562f6eb6708b5ff7d7397325de9e764452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cp:revision>0</cp:revision>
  <dc:subject/>
  <dc:title>Spécification fonctionnelle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