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rPr/>
      </w:pPr>
      <w:r>
        <w:rPr/>
        <w:drawing>
          <wp:inline distT="0" distB="0" distL="0" distR="0">
            <wp:extent cx="952500" cy="6858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300"/>
        <w:rPr/>
      </w:pPr>
      <w:r>
        <w:rPr>
          <w:color w:val="666666"/>
          <w:sz w:val="18"/>
          <w:szCs w:val="18"/>
        </w:rPr>
        <w:t>agon-gate.com — Pluvigner, Morbihan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32"/>
          <w:szCs w:val="32"/>
        </w:rPr>
        <w:t>DEVIS — Plateforme de location en ligne</w:t>
      </w:r>
    </w:p>
    <w:p>
      <w:pPr>
        <w:pStyle w:val="Normal"/>
        <w:spacing w:before="0" w:after="300"/>
        <w:jc w:val="center"/>
        <w:rPr/>
      </w:pPr>
      <w:r>
        <w:rPr>
          <w:i/>
          <w:iCs/>
          <w:color w:val="444444"/>
          <w:sz w:val="22"/>
          <w:szCs w:val="22"/>
        </w:rPr>
        <w:t>Set et Brique — remplacement de la solution Poppins</w:t>
      </w:r>
    </w:p>
    <w:p>
      <w:pPr>
        <w:pStyle w:val="Normal"/>
        <w:spacing w:before="0" w:after="80"/>
        <w:rPr/>
      </w:pPr>
      <w:r>
        <w:rPr>
          <w:sz w:val="20"/>
          <w:szCs w:val="20"/>
        </w:rPr>
        <w:t>Date du devis : à compléter</w:t>
      </w:r>
    </w:p>
    <w:p>
      <w:pPr>
        <w:pStyle w:val="Normal"/>
        <w:spacing w:before="0" w:after="300"/>
        <w:rPr/>
      </w:pPr>
      <w:r>
        <w:rPr>
          <w:sz w:val="20"/>
          <w:szCs w:val="20"/>
        </w:rPr>
        <w:t>Validité de l'offre : 30 jours</w:t>
      </w:r>
    </w:p>
    <w:p>
      <w:pPr>
        <w:pStyle w:val="Titre1"/>
        <w:rPr/>
      </w:pPr>
      <w:r>
        <w:rPr/>
        <w:t>Contexte</w:t>
      </w:r>
    </w:p>
    <w:p>
      <w:pPr>
        <w:pStyle w:val="Normal"/>
        <w:spacing w:before="0" w:after="240"/>
        <w:rPr/>
      </w:pPr>
      <w:r>
        <w:rPr>
          <w:sz w:val="21"/>
          <w:szCs w:val="21"/>
        </w:rPr>
        <w:t>Set et Brique gère aujourd'hui ses locations de LEGO via la plateforme Poppins, peu adaptée à la location longue durée. L'objectif de ce projet est de reprendre la main sur le site set-et-brique.com en y intégrant directement les fonctionnalités de réservation, de paiement et de gestion des locations, afin de se passer progressivement de Poppins.</w:t>
      </w:r>
    </w:p>
    <w:p>
      <w:pPr>
        <w:pStyle w:val="Titre1"/>
        <w:rPr/>
      </w:pPr>
      <w:r>
        <w:rPr/>
        <w:t>Détail du développement, module par module</w:t>
      </w:r>
    </w:p>
    <w:p>
      <w:pPr>
        <w:pStyle w:val="Normal"/>
        <w:spacing w:before="0" w:after="200"/>
        <w:rPr/>
      </w:pPr>
      <w:r>
        <w:rPr>
          <w:i/>
          <w:iCs/>
          <w:color w:val="555555"/>
          <w:sz w:val="20"/>
          <w:szCs w:val="20"/>
        </w:rPr>
        <w:t>Les modules sont présentés dans l'ordre de mise en place recommandé : les cinq premiers forment le socle indispensable pour un site fonctionnel, les suivants sécurisent et complètent l'activité.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1. Location pure — catalogue &amp; stock</w:t>
      </w:r>
      <w:r>
        <w:rPr>
          <w:b/>
          <w:bCs/>
          <w:color w:val="1F5C3B"/>
          <w:sz w:val="24"/>
          <w:szCs w:val="24"/>
        </w:rPr>
        <w:t xml:space="preserve">   —   900 €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Fiches articles avec informations détaillées (nom, référence, état, valeur)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Gestion du stock et des quantités disponibles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Définition du montant de caution par article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Suivi des entrées et sorties de matériel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Suivi des colis envoyés / reçus (le cas échéant)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2. Planning des locations</w:t>
      </w:r>
      <w:r>
        <w:rPr>
          <w:b/>
          <w:bCs/>
          <w:color w:val="1F5C3B"/>
          <w:sz w:val="24"/>
          <w:szCs w:val="24"/>
        </w:rPr>
        <w:t xml:space="preserve">   —   660 €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Calendrier des périodes de location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Gestion des créneaux de retrait / retour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Disponibilité en temps réel des articles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3. Comptes clients &amp; espace de suivi</w:t>
      </w:r>
      <w:r>
        <w:rPr>
          <w:b/>
          <w:bCs/>
          <w:color w:val="1F5C3B"/>
          <w:sz w:val="24"/>
          <w:szCs w:val="24"/>
        </w:rPr>
        <w:t xml:space="preserve">   —   660 €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Inscription client (coordonnées, contact)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Authentification de base (pour être reconnu lors d'une prochaine réservation, sans ressaisir ses informations)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Stockage des informations nécessaires à la facturation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Historique des locations rattaché à chaque client (consultable depuis le back-office)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Espace client en ligne : suivi de l'avancement de ses locations en cours (prochaine date de retrait, set concerné, statut récupéré / à rendre, date de retour prévue, retard éventuel)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4. Paiement Stripe</w:t>
      </w:r>
      <w:r>
        <w:rPr>
          <w:b/>
          <w:bCs/>
          <w:color w:val="1F5C3B"/>
          <w:sz w:val="24"/>
          <w:szCs w:val="24"/>
        </w:rPr>
        <w:t xml:space="preserve">   —   540 €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Intégration Stripe pour le règlement des locations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Gestion de la caution (pré-autorisation ou encaissement)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Option d'assurance / protection additionnelle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5. Tunnel de réservation client</w:t>
      </w:r>
      <w:r>
        <w:rPr>
          <w:b/>
          <w:bCs/>
          <w:color w:val="1F5C3B"/>
          <w:sz w:val="24"/>
          <w:szCs w:val="24"/>
        </w:rPr>
        <w:t xml:space="preserve">   —   480 €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Parcours de réservation en ligne : sélection → durée → créneau → paiement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Intégration directe au site vitrine existant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Réutilise les composants déjà développés pour le planning et le catalogue (module allégé grâce à cette mutualisation)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6. Contrat de location / conditions générales</w:t>
      </w:r>
      <w:r>
        <w:rPr>
          <w:b/>
          <w:bCs/>
          <w:color w:val="1F5C3B"/>
          <w:sz w:val="24"/>
          <w:szCs w:val="24"/>
        </w:rPr>
        <w:t xml:space="preserve">   —   300 €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Conditions générales de location intégrées au tunnel de réservation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Acceptation obligatoire avant validation de la commande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7. Facturation</w:t>
      </w:r>
      <w:r>
        <w:rPr>
          <w:b/>
          <w:bCs/>
          <w:color w:val="1F5C3B"/>
          <w:sz w:val="24"/>
          <w:szCs w:val="24"/>
        </w:rPr>
        <w:t xml:space="preserve">   —   420 €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Génération automatique de devis et factures au format PDF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Numérotation légale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Export pour la comptabilité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8. État des lieux &amp; gestion des dommages</w:t>
      </w:r>
      <w:r>
        <w:rPr>
          <w:b/>
          <w:bCs/>
          <w:color w:val="1F5C3B"/>
          <w:sz w:val="24"/>
          <w:szCs w:val="24"/>
        </w:rPr>
        <w:t xml:space="preserve">   —   450 €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Constat de retour — méthode à confirmer avec le client (photos et/ou checklist)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Prélèvement partiel ou total sur la caution en cas de dommage ou de pièce manquante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9. Notifications automatisées</w:t>
      </w:r>
      <w:r>
        <w:rPr>
          <w:b/>
          <w:bCs/>
          <w:color w:val="1F5C3B"/>
          <w:sz w:val="24"/>
          <w:szCs w:val="24"/>
        </w:rPr>
        <w:t xml:space="preserve">   —   300 €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Email de confirmation de réservation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Rappel avant la date de retour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Relance en cas de retard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10. Back-office &amp; reporting</w:t>
      </w:r>
      <w:r>
        <w:rPr>
          <w:b/>
          <w:bCs/>
          <w:color w:val="1F5C3B"/>
          <w:sz w:val="24"/>
          <w:szCs w:val="24"/>
        </w:rPr>
        <w:t xml:space="preserve">   —   450 €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Vue d'ensemble des locations en cours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Suivi du stock et du chiffre d'affaires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Exports de données</w:t>
      </w:r>
    </w:p>
    <w:p>
      <w:pPr>
        <w:pStyle w:val="Normal"/>
        <w:spacing w:before="260" w:after="80"/>
        <w:rPr/>
      </w:pPr>
      <w:r>
        <w:rPr>
          <w:b/>
          <w:bCs/>
          <w:sz w:val="24"/>
          <w:szCs w:val="24"/>
        </w:rPr>
        <w:t>11. Intégration, tests, déploiement, formation</w:t>
      </w:r>
      <w:r>
        <w:rPr>
          <w:b/>
          <w:bCs/>
          <w:color w:val="1F5C3B"/>
          <w:sz w:val="24"/>
          <w:szCs w:val="24"/>
        </w:rPr>
        <w:t xml:space="preserve">   —   360 €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Mise en production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Tests du parcours complet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Formation à l'utilisation de l'outil</w:t>
      </w:r>
    </w:p>
    <w:p>
      <w:pPr>
        <w:pStyle w:val="Normal"/>
        <w:spacing w:before="100" w:after="200"/>
        <w:rPr/>
      </w:pPr>
      <w:r>
        <w:rPr>
          <w:i/>
          <w:iCs/>
          <w:color w:val="777777"/>
          <w:sz w:val="18"/>
          <w:szCs w:val="18"/>
        </w:rPr>
        <w:t>* La méthode exacte de constat de retour (module 8) sera précisée avec vous avant le démarrage du développement, selon votre fonctionnement actuel.</w:t>
      </w:r>
    </w:p>
    <w:p>
      <w:pPr>
        <w:pStyle w:val="Normal"/>
        <w:pBdr>
          <w:bottom w:val="single" w:sz="6" w:space="0" w:color="CCCCCC"/>
        </w:pBdr>
        <w:spacing w:before="120" w:after="120"/>
        <w:rPr/>
      </w:pPr>
      <w:r>
        <w:rPr/>
      </w:r>
    </w:p>
    <w:p>
      <w:pPr>
        <w:pStyle w:val="Normal"/>
        <w:spacing w:before="0" w:after="300"/>
        <w:rPr/>
      </w:pPr>
      <w:r>
        <w:rPr>
          <w:b/>
          <w:bCs/>
          <w:sz w:val="24"/>
          <w:szCs w:val="24"/>
        </w:rPr>
        <w:t xml:space="preserve">Total développement complet : </w:t>
      </w:r>
      <w:r>
        <w:rPr>
          <w:b/>
          <w:bCs/>
          <w:color w:val="1F5C3B"/>
          <w:sz w:val="24"/>
          <w:szCs w:val="24"/>
        </w:rPr>
        <w:t>5 520 €</w:t>
      </w:r>
    </w:p>
    <w:p>
      <w:pPr>
        <w:pStyle w:val="Titre1"/>
        <w:rPr/>
      </w:pPr>
      <w:r>
        <w:rPr/>
        <w:t>Méthode de travail et jalons</w:t>
      </w:r>
    </w:p>
    <w:p>
      <w:pPr>
        <w:pStyle w:val="Normal"/>
        <w:spacing w:before="0" w:after="120"/>
        <w:rPr/>
      </w:pPr>
      <w:r>
        <w:rPr>
          <w:sz w:val="21"/>
          <w:szCs w:val="21"/>
        </w:rPr>
        <w:t>Chaque module fonctionnel donnera lieu à un point d'étape : présentation, démonstration et tests avant de passer au suivant. Objectif indicatif de mise en service : fin octobre — cet objectif est optimiste et non garanti, le calendrier réel dépendra des difficultés techniques rencontrées en cours de développement.</w:t>
      </w:r>
    </w:p>
    <w:p>
      <w:pPr>
        <w:pStyle w:val="Titre1"/>
        <w:rPr/>
      </w:pPr>
      <w:r>
        <w:rPr/>
        <w:t>Modalités de règlement</w:t>
      </w:r>
    </w:p>
    <w:p>
      <w:pPr>
        <w:pStyle w:val="Normal"/>
        <w:spacing w:before="120" w:after="60"/>
        <w:rPr/>
      </w:pPr>
      <w:r>
        <w:rPr>
          <w:b/>
          <w:bCs/>
          <w:sz w:val="22"/>
          <w:szCs w:val="22"/>
        </w:rPr>
        <w:t>Option A — Paiement intégral</w:t>
      </w:r>
    </w:p>
    <w:p>
      <w:pPr>
        <w:pStyle w:val="Normal"/>
        <w:spacing w:before="0" w:after="200"/>
        <w:rPr/>
      </w:pPr>
      <w:r>
        <w:rPr>
          <w:sz w:val="21"/>
          <w:szCs w:val="21"/>
        </w:rPr>
        <w:t>5 520 € réglés selon les modalités habituelles (acompte à la commande, solde à la livraison).</w:t>
      </w:r>
    </w:p>
    <w:p>
      <w:pPr>
        <w:pStyle w:val="Normal"/>
        <w:spacing w:before="120" w:after="60"/>
        <w:rPr/>
      </w:pPr>
      <w:r>
        <w:rPr>
          <w:b/>
          <w:bCs/>
          <w:sz w:val="22"/>
          <w:szCs w:val="22"/>
        </w:rPr>
        <w:t>Option B — Règlement échelonné (proposée à Set et Brique)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10 % du montant réglés à la commande, soit 552 €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Le solde est financé par le passage de l'abonnement mensuel actuel de 6 € à 60 €/mois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Engagement minimum de 12 mois sur ce nouvel abonnement</w:t>
      </w:r>
    </w:p>
    <w:p>
      <w:pPr>
        <w:pStyle w:val="Normal"/>
        <w:spacing w:before="160" w:after="260"/>
        <w:rPr/>
      </w:pPr>
      <w:r>
        <w:rPr>
          <w:i/>
          <w:iCs/>
          <w:color w:val="555555"/>
          <w:sz w:val="20"/>
          <w:szCs w:val="20"/>
        </w:rPr>
        <w:t>Cette option permet d'étaler l'investissement dans le temps tout en bénéficiant des fonctionnalités dès leur développement achevé"</w:t>
      </w:r>
    </w:p>
    <w:p>
      <w:pPr>
        <w:pStyle w:val="Normal"/>
        <w:pBdr>
          <w:top w:val="single" w:sz="6" w:space="0" w:color="CCCCCC"/>
        </w:pBdr>
        <w:spacing w:before="400" w:after="0"/>
        <w:rPr/>
      </w:pPr>
      <w:r>
        <w:rPr>
          <w:b/>
          <w:bCs/>
          <w:sz w:val="20"/>
          <w:szCs w:val="20"/>
        </w:rPr>
        <w:t>Bon pour accord</w:t>
      </w:r>
    </w:p>
    <w:p>
      <w:pPr>
        <w:pStyle w:val="Normal"/>
        <w:spacing w:before="200" w:after="0"/>
        <w:rPr/>
      </w:pPr>
      <w:r>
        <w:rPr>
          <w:sz w:val="20"/>
          <w:szCs w:val="20"/>
        </w:rPr>
        <w:t>Date : _______________     Signature (précédée de la mention « Bon pour accord ») :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fr-FR" w:eastAsia="zh-CN" w:bidi="hi-IN"/>
    </w:rPr>
  </w:style>
  <w:style w:type="paragraph" w:styleId="Titre1">
    <w:name w:val="Heading 1"/>
    <w:basedOn w:val="Titre"/>
    <w:qFormat/>
    <w:pPr/>
    <w:rPr>
      <w:color w:val="2E74B5"/>
      <w:sz w:val="32"/>
      <w:szCs w:val="32"/>
    </w:rPr>
  </w:style>
  <w:style w:type="paragraph" w:styleId="Titre2">
    <w:name w:val="Heading 2"/>
    <w:basedOn w:val="Titre"/>
    <w:qFormat/>
    <w:pPr/>
    <w:rPr>
      <w:color w:val="2E74B5"/>
      <w:sz w:val="26"/>
      <w:szCs w:val="26"/>
    </w:rPr>
  </w:style>
  <w:style w:type="paragraph" w:styleId="Titre3">
    <w:name w:val="Heading 3"/>
    <w:basedOn w:val="Titre"/>
    <w:qFormat/>
    <w:pPr/>
    <w:rPr>
      <w:color w:val="1F4D78"/>
      <w:sz w:val="24"/>
      <w:szCs w:val="24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Lien Internet"/>
    <w:uiPriority w:val="99"/>
    <w:unhideWhenUsed/>
    <w:rPr>
      <w:color w:val="0563C1"/>
      <w:u w:val="single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Ancredenotedefin">
    <w:name w:val="Ancre de note de fin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fr-FR" w:eastAsia="zh-CN" w:bidi="hi-IN"/>
    </w:rPr>
  </w:style>
  <w:style w:type="paragraph" w:styleId="Notedebasdepag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edefin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LibreOffice/7.0.1.2$Windows_X86_64 LibreOffice_project/7cbcfc562f6eb6708b5ff7d7397325de9e764452</Application>
  <Pages>3</Pages>
  <Words>718</Words>
  <Characters>3747</Characters>
  <CharactersWithSpaces>4427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2026-09-01T19:25:21Z</dcterms:created>
  <dc:creator>Un-named</dc:creator>
  <dc:description/>
  <dc:language>fr-FR</dc:language>
  <cp:lastModifiedBy/>
  <dcterms:modified xsi:type="dcterms:W3CDTF">2026-09-01T22:05:41Z</dcterms:modified>
  <cp:revision>2</cp:revision>
  <dc:subject/>
  <dc:title/>
</cp:coreProperties>
</file>