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re1"/>
        <w:bidi w:val="0"/>
        <w:spacing w:before="240" w:after="283"/>
        <w:jc w:val="left"/>
        <w:rPr/>
      </w:pPr>
      <w:r>
        <w:rPr/>
        <w:t>Spécification fonctionnelle — Plateforme de location Set et Brique</w:t>
      </w:r>
    </w:p>
    <w:p>
      <w:pPr>
        <w:pStyle w:val="Citations"/>
        <w:bidi w:val="0"/>
        <w:spacing w:before="0" w:after="283"/>
        <w:ind w:left="567" w:right="567" w:hanging="0"/>
        <w:jc w:val="left"/>
        <w:rPr/>
      </w:pPr>
      <w:r>
        <w:rPr/>
        <w:t>Document interne (AGON-GATE) — à usage d'Alexis et Madus pour le développement. Ne pas diffuser tel quel à la cliente. Basé sur le devis, le contrat et les échanges de cadrage successifs (voir README.md du dépôt pour les points encore ouverts et les décisions reportées en V2).</w:t>
      </w:r>
    </w:p>
    <w:p>
      <w:pPr>
        <w:pStyle w:val="Titre2"/>
        <w:bidi w:val="0"/>
        <w:jc w:val="left"/>
        <w:rPr/>
      </w:pPr>
      <w:r>
        <w:rPr/>
        <w:t>Objectif du document</w:t>
      </w:r>
    </w:p>
    <w:p>
      <w:pPr>
        <w:pStyle w:val="Corpsdetexte"/>
        <w:bidi w:val="0"/>
        <w:spacing w:before="0" w:after="283"/>
        <w:jc w:val="left"/>
        <w:rPr/>
      </w:pPr>
      <w:r>
        <w:rPr/>
        <w:t>Décrire, module par module, les règles métier concrètes à implémenter : statuts, données, comportements attendus, cas limites déjà tranchés, et ce qui reste en attente. Rien dans ce document n'est inventé — tout ce qui n'est pas explicitement confirmé ci-dessous doit être posé en question avant développement plutôt que supposé.</w:t>
      </w:r>
    </w:p>
    <w:p>
      <w:pPr>
        <w:pStyle w:val="Titre2"/>
        <w:bidi w:val="0"/>
        <w:jc w:val="left"/>
        <w:rPr/>
      </w:pPr>
      <w:r>
        <w:rPr/>
        <w:t>Légende</w:t>
      </w:r>
    </w:p>
    <w:p>
      <w:pPr>
        <w:pStyle w:val="Corpsdetexte"/>
        <w:numPr>
          <w:ilvl w:val="0"/>
          <w:numId w:val="1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Règle confirmée, prête à développer. </w:t>
      </w:r>
    </w:p>
    <w:p>
      <w:pPr>
        <w:pStyle w:val="Corpsdetexte"/>
        <w:numPr>
          <w:ilvl w:val="0"/>
          <w:numId w:val="1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⏳ </w:t>
      </w:r>
      <w:r>
        <w:rPr/>
        <w:t xml:space="preserve">En attente d'une réponse de la cliente (Marion) — cf. document « Questions — récap client ». </w:t>
      </w:r>
    </w:p>
    <w:p>
      <w:pPr>
        <w:pStyle w:val="Corpsdetexte"/>
        <w:numPr>
          <w:ilvl w:val="0"/>
          <w:numId w:val="1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🔜 </w:t>
      </w:r>
      <w:r>
        <w:rPr/>
        <w:t xml:space="preserve">Reporté à une V2, ne pas développer maintenant.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1. Location pure — catalogue &amp; stock</w:t>
      </w:r>
    </w:p>
    <w:p>
      <w:pPr>
        <w:pStyle w:val="Corpsdetexte"/>
        <w:bidi w:val="0"/>
        <w:spacing w:before="0" w:after="283"/>
        <w:jc w:val="left"/>
        <w:rPr/>
      </w:pPr>
      <w:r>
        <w:rPr>
          <w:rStyle w:val="Accentuationforte"/>
        </w:rPr>
        <w:t>Fiche article (par set) — champs :</w:t>
      </w:r>
    </w:p>
    <w:p>
      <w:pPr>
        <w:pStyle w:val="Corpsdetexte"/>
        <w:numPr>
          <w:ilvl w:val="0"/>
          <w:numId w:val="2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Nom, référence LEGO officielle, nombre de pièces, âge conseillé, photo(s), état (neuf/occasion), valeur de remplacement (sert de base à la caution). </w:t>
      </w:r>
    </w:p>
    <w:p>
      <w:pPr>
        <w:pStyle w:val="Corpsdetexte"/>
        <w:numPr>
          <w:ilvl w:val="0"/>
          <w:numId w:val="2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Champ commentaire libre, </w:t>
      </w:r>
      <w:r>
        <w:rPr>
          <w:rStyle w:val="Accentuationforte"/>
        </w:rPr>
        <w:t>visible côté client</w:t>
      </w:r>
      <w:r>
        <w:rPr/>
        <w:t xml:space="preserve"> sur la fiche du set.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Stock :</w:t>
      </w:r>
    </w:p>
    <w:p>
      <w:pPr>
        <w:pStyle w:val="Corpsdetexte"/>
        <w:numPr>
          <w:ilvl w:val="0"/>
          <w:numId w:val="3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Un seul exemplaire par référence aujourd'hui (~25 références au catalogue, ajout moyen de 0,5/mois), mais le modèle de données doit prévoir le multi-stock (plusieurs exemplaires d'une même référence) pour une évolution future — ne pas coder en dur « quantité = 1 ».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Statuts d'un set :</w:t>
      </w:r>
    </w:p>
    <w:p>
      <w:pPr>
        <w:pStyle w:val="Corpsdetexte"/>
        <w:numPr>
          <w:ilvl w:val="0"/>
          <w:numId w:val="4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>
          <w:rStyle w:val="Textesource"/>
        </w:rPr>
        <w:t>Disponible</w:t>
      </w:r>
      <w:r>
        <w:rPr/>
        <w:t xml:space="preserve"> / </w:t>
      </w:r>
      <w:r>
        <w:rPr>
          <w:rStyle w:val="Textesource"/>
        </w:rPr>
        <w:t>Location</w:t>
      </w:r>
      <w:r>
        <w:rPr/>
        <w:t xml:space="preserve"> / </w:t>
      </w:r>
      <w:r>
        <w:rPr>
          <w:rStyle w:val="Textesource"/>
        </w:rPr>
        <w:t>Battement</w:t>
      </w:r>
      <w:r>
        <w:rPr/>
        <w:t xml:space="preserve"> / </w:t>
      </w:r>
      <w:r>
        <w:rPr>
          <w:rStyle w:val="Textesource"/>
        </w:rPr>
        <w:t>Réparation</w:t>
      </w:r>
      <w:r>
        <w:rPr/>
        <w:t xml:space="preserve"> / </w:t>
      </w:r>
      <w:r>
        <w:rPr>
          <w:rStyle w:val="Textesource"/>
        </w:rPr>
        <w:t>Retiré</w:t>
      </w:r>
      <w:r>
        <w:rPr/>
        <w:t xml:space="preserve">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Délai de battement (entre deux locations) :</w:t>
      </w:r>
    </w:p>
    <w:p>
      <w:pPr>
        <w:pStyle w:val="Corpsdetexte"/>
        <w:numPr>
          <w:ilvl w:val="0"/>
          <w:numId w:val="5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Réglable individuellement par set (valeur par défaut 4 jours), modifiable par Marion elle-même depuis le back-office.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Hors périmètre :</w:t>
      </w:r>
    </w:p>
    <w:p>
      <w:pPr>
        <w:pStyle w:val="Corpsdetexte"/>
        <w:numPr>
          <w:ilvl w:val="0"/>
          <w:numId w:val="6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Suivi des colis envoyés/reçus — retiré, sans objet en V1 (100 % remise en main propre).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2. Planning des locations</w:t>
      </w:r>
    </w:p>
    <w:p>
      <w:pPr>
        <w:pStyle w:val="Corpsdetexte"/>
        <w:numPr>
          <w:ilvl w:val="0"/>
          <w:numId w:val="7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Le planning est </w:t>
      </w:r>
      <w:r>
        <w:rPr>
          <w:rStyle w:val="Accentuationforte"/>
        </w:rPr>
        <w:t>propre à chaque lieu de retrait</w:t>
      </w:r>
      <w:r>
        <w:rPr/>
        <w:t xml:space="preserve"> (une seule personne fait les remises, donc impossible d'être sur deux lieux en même temps sur le même créneau). </w:t>
      </w:r>
    </w:p>
    <w:p>
      <w:pPr>
        <w:pStyle w:val="Corpsdetexte"/>
        <w:numPr>
          <w:ilvl w:val="0"/>
          <w:numId w:val="7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Un client ne peut réserver que l'une des 4 durées fixes du tarif (4j / 7j / 15j / 1 mois) — pas de durée libre dans le tunnel. Un besoin différent passe par une demande de contact par email, hors outil. </w:t>
      </w:r>
    </w:p>
    <w:p>
      <w:pPr>
        <w:pStyle w:val="Corpsdetexte"/>
        <w:numPr>
          <w:ilvl w:val="0"/>
          <w:numId w:val="7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🔜 </w:t>
      </w:r>
      <w:r>
        <w:rPr>
          <w:rStyle w:val="Accentuationforte"/>
        </w:rPr>
        <w:t>Prolongation d'une location en cours</w:t>
      </w:r>
      <w:r>
        <w:rPr/>
        <w:t xml:space="preserve"> : souhaitée par Marion mais reportée en V2. Le cas du conflit avec une réservation déjà prise juste après (comment refuser/renégocier sans léser le client suivant) reste à trancher à ce moment-là.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3. Comptes clients &amp; espace de suivi</w:t>
      </w:r>
    </w:p>
    <w:p>
      <w:pPr>
        <w:pStyle w:val="Corpsdetexte"/>
        <w:bidi w:val="0"/>
        <w:spacing w:before="0" w:after="283"/>
        <w:jc w:val="left"/>
        <w:rPr/>
      </w:pPr>
      <w:r>
        <w:rPr>
          <w:rStyle w:val="Accentuationforte"/>
        </w:rPr>
        <w:t>Inscription — champs obligatoires :</w:t>
      </w:r>
    </w:p>
    <w:p>
      <w:pPr>
        <w:pStyle w:val="Corpsdetexte"/>
        <w:numPr>
          <w:ilvl w:val="0"/>
          <w:numId w:val="8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Nom, prénom, email, téléphone, adresse postale (informations nécessaires à la facturation). Rien de plus (pas de date de naissance, etc.).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Locations simultanées :</w:t>
      </w:r>
    </w:p>
    <w:p>
      <w:pPr>
        <w:pStyle w:val="Corpsdetexte"/>
        <w:numPr>
          <w:ilvl w:val="0"/>
          <w:numId w:val="9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⏳ </w:t>
      </w:r>
      <w:r>
        <w:rPr/>
        <w:t xml:space="preserve">Un client peut-il avoir plusieurs locations actives en même temps, ou une seule à la fois ? Non tranché, question posée à Marion.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Compte bloqué :</w:t>
      </w:r>
    </w:p>
    <w:p>
      <w:pPr>
        <w:pStyle w:val="Corpsdetexte"/>
        <w:numPr>
          <w:ilvl w:val="0"/>
          <w:numId w:val="10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Statut « compte bloqué » à prévoir, activé/désactivé </w:t>
      </w:r>
      <w:r>
        <w:rPr>
          <w:rStyle w:val="Accentuationforte"/>
        </w:rPr>
        <w:t>manuellement par Marion</w:t>
      </w:r>
      <w:r>
        <w:rPr/>
        <w:t xml:space="preserve"> depuis le back-office (ex. set non rendu, litige en cours) — empêche toute nouvelle réservation tant qu'il est actif.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Espace de suivi (fusion de l'ancien module « Espace client ») :</w:t>
      </w:r>
    </w:p>
    <w:p>
      <w:pPr>
        <w:pStyle w:val="Corpsdetexte"/>
        <w:numPr>
          <w:ilvl w:val="0"/>
          <w:numId w:val="11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Le client voit l'avancement de ses locations en cours : prochaine date de retrait, set concerné, statut récupéré / à rendre, date de retour prévue, retard éventuel.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4. Paiement Stripe</w:t>
      </w:r>
    </w:p>
    <w:p>
      <w:pPr>
        <w:pStyle w:val="Corpsdetexte"/>
        <w:bidi w:val="0"/>
        <w:spacing w:before="0" w:after="283"/>
        <w:jc w:val="left"/>
        <w:rPr/>
      </w:pPr>
      <w:r>
        <w:rPr>
          <w:rStyle w:val="Accentuationforte"/>
        </w:rPr>
        <w:t>Modes de paiement du loyer :</w:t>
      </w:r>
    </w:p>
    <w:p>
      <w:pPr>
        <w:pStyle w:val="Corpsdetexte"/>
        <w:numPr>
          <w:ilvl w:val="0"/>
          <w:numId w:val="12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Deux modes possibles : paiement en ligne (Stripe, prélevé </w:t>
      </w:r>
      <w:r>
        <w:rPr>
          <w:rStyle w:val="Accentuationforte"/>
        </w:rPr>
        <w:t>à la réservation</w:t>
      </w:r>
      <w:r>
        <w:rPr/>
        <w:t xml:space="preserve">), ou paiement sur place par </w:t>
      </w:r>
      <w:r>
        <w:rPr>
          <w:rStyle w:val="Accentuationforte"/>
        </w:rPr>
        <w:t>TPE</w:t>
      </w:r>
      <w:r>
        <w:rPr/>
        <w:t xml:space="preserve"> au moment de la remise en main propre.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Caution :</w:t>
      </w:r>
    </w:p>
    <w:p>
      <w:pPr>
        <w:pStyle w:val="Corpsdetexte"/>
        <w:numPr>
          <w:ilvl w:val="0"/>
          <w:numId w:val="13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Toujours en </w:t>
      </w:r>
      <w:r>
        <w:rPr>
          <w:rStyle w:val="Accentuationforte"/>
        </w:rPr>
        <w:t>pré-autorisation</w:t>
      </w:r>
      <w:r>
        <w:rPr/>
        <w:t xml:space="preserve">, jamais débitée sauf litige. </w:t>
      </w:r>
    </w:p>
    <w:p>
      <w:pPr>
        <w:pStyle w:val="Corpsdetexte"/>
        <w:numPr>
          <w:ilvl w:val="0"/>
          <w:numId w:val="13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⚠️ </w:t>
      </w:r>
      <w:r>
        <w:rPr/>
        <w:t xml:space="preserve">Point à vérifier avec Marion : si le loyer est payé par TPE sur place, comment se fait la pré-autorisation de la caution (carte enregistrée en amont côté client tout de même) ? Question ajoutée au récap envoyé.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Hors périmètre :</w:t>
      </w:r>
    </w:p>
    <w:p>
      <w:pPr>
        <w:pStyle w:val="Corpsdetexte"/>
        <w:numPr>
          <w:ilvl w:val="0"/>
          <w:numId w:val="14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Pas d'option d'assurance/protection additionnelle — la caution est la seule protection.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Cas d'échec / abandon :</w:t>
      </w:r>
    </w:p>
    <w:p>
      <w:pPr>
        <w:pStyle w:val="Corpsdetexte"/>
        <w:numPr>
          <w:ilvl w:val="0"/>
          <w:numId w:val="15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Échec du paiement en ligne (carte refusée) → créneau bloqué </w:t>
      </w:r>
      <w:r>
        <w:rPr>
          <w:rStyle w:val="Accentuationforte"/>
        </w:rPr>
        <w:t>1h</w:t>
      </w:r>
      <w:r>
        <w:rPr/>
        <w:t xml:space="preserve"> le temps que le client trouve une solution. </w:t>
      </w:r>
    </w:p>
    <w:p>
      <w:pPr>
        <w:pStyle w:val="Corpsdetexte"/>
        <w:numPr>
          <w:ilvl w:val="0"/>
          <w:numId w:val="15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Abandon en cours de paiement (avant tentative) → créneau libéré après </w:t>
      </w:r>
      <w:r>
        <w:rPr>
          <w:rStyle w:val="Accentuationforte"/>
        </w:rPr>
        <w:t>15 min</w:t>
      </w:r>
      <w:r>
        <w:rPr/>
        <w:t xml:space="preserve">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5. Tunnel de réservation client</w:t>
      </w:r>
    </w:p>
    <w:p>
      <w:pPr>
        <w:pStyle w:val="Corpsdetexte"/>
        <w:numPr>
          <w:ilvl w:val="0"/>
          <w:numId w:val="16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Parcours : sélection du set → choix de la durée (4 options fixes) → choix du créneau de retrait → paiement (en ligne ou « à la remise par TPE »). </w:t>
      </w:r>
    </w:p>
    <w:p>
      <w:pPr>
        <w:pStyle w:val="Corpsdetexte"/>
        <w:numPr>
          <w:ilvl w:val="0"/>
          <w:numId w:val="16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En V1, tous les sets sont disponibles à tous les lieux de retrait (pas de restriction géographique par set).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6. Contrat de location / conditions générales</w:t>
      </w:r>
    </w:p>
    <w:p>
      <w:pPr>
        <w:pStyle w:val="Corpsdetexte"/>
        <w:numPr>
          <w:ilvl w:val="0"/>
          <w:numId w:val="17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Acceptation par </w:t>
      </w:r>
      <w:r>
        <w:rPr>
          <w:rStyle w:val="Accentuationforte"/>
        </w:rPr>
        <w:t>simple case à cocher</w:t>
      </w:r>
      <w:r>
        <w:rPr/>
        <w:t xml:space="preserve"> (« J'accepte les conditions générales ») — pas de signature électronique nominative en V1. </w:t>
      </w:r>
    </w:p>
    <w:p>
      <w:pPr>
        <w:pStyle w:val="Corpsdetexte"/>
        <w:numPr>
          <w:ilvl w:val="0"/>
          <w:numId w:val="17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Le document physique remis dans la boîte lors du prêt (avertissement d'âge conseillé) est </w:t>
      </w:r>
      <w:r>
        <w:rPr>
          <w:rStyle w:val="Accentuationforte"/>
        </w:rPr>
        <w:t>géré indépendamment par Marion</w:t>
      </w:r>
      <w:r>
        <w:rPr/>
        <w:t xml:space="preserve">, hors système — rien à générer côté plateforme. </w:t>
      </w:r>
    </w:p>
    <w:p>
      <w:pPr>
        <w:pStyle w:val="Corpsdetexte"/>
        <w:numPr>
          <w:ilvl w:val="0"/>
          <w:numId w:val="17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⏳ </w:t>
      </w:r>
      <w:r>
        <w:rPr/>
        <w:t xml:space="preserve">Le contenu réel des CGL dépend des barèmes non tranchés (pénalités, annulation, retard) — </w:t>
      </w:r>
      <w:r>
        <w:rPr>
          <w:rStyle w:val="Accentuationforte"/>
        </w:rPr>
        <w:t>ne pas démarrer ce module avant réponse de Marion</w:t>
      </w:r>
      <w:r>
        <w:rPr/>
        <w:t xml:space="preserve">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7. Facturation</w:t>
      </w:r>
    </w:p>
    <w:p>
      <w:pPr>
        <w:pStyle w:val="Corpsdetexte"/>
        <w:numPr>
          <w:ilvl w:val="0"/>
          <w:numId w:val="18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Nouvelle numérotation de factures, </w:t>
      </w:r>
      <w:r>
        <w:rPr>
          <w:rStyle w:val="Accentuationforte"/>
        </w:rPr>
        <w:t>repart de zéro</w:t>
      </w:r>
      <w:r>
        <w:rPr/>
        <w:t xml:space="preserve"> (pas de reprise de Poppins ou d'une séquence existante). </w:t>
      </w:r>
    </w:p>
    <w:p>
      <w:pPr>
        <w:pStyle w:val="Corpsdetexte"/>
        <w:numPr>
          <w:ilvl w:val="0"/>
          <w:numId w:val="18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Facture générée uniquement une fois le paiement confirmé : </w:t>
      </w:r>
    </w:p>
    <w:p>
      <w:pPr>
        <w:pStyle w:val="Corpsdetexte"/>
        <w:numPr>
          <w:ilvl w:val="1"/>
          <w:numId w:val="18"/>
        </w:numPr>
        <w:tabs>
          <w:tab w:val="clear" w:pos="1134"/>
          <w:tab w:val="left" w:pos="1414" w:leader="none"/>
        </w:tabs>
        <w:bidi w:val="0"/>
        <w:spacing w:before="0" w:after="0"/>
        <w:ind w:left="1414" w:hanging="283"/>
        <w:jc w:val="left"/>
        <w:rPr/>
      </w:pPr>
      <w:r>
        <w:rPr/>
        <w:t xml:space="preserve">automatiquement pour un paiement en ligne ; </w:t>
      </w:r>
    </w:p>
    <w:p>
      <w:pPr>
        <w:pStyle w:val="Corpsdetexte"/>
        <w:numPr>
          <w:ilvl w:val="1"/>
          <w:numId w:val="18"/>
        </w:numPr>
        <w:tabs>
          <w:tab w:val="clear" w:pos="1134"/>
          <w:tab w:val="left" w:pos="1414" w:leader="none"/>
        </w:tabs>
        <w:bidi w:val="0"/>
        <w:spacing w:before="0" w:after="0"/>
        <w:ind w:left="1414" w:hanging="283"/>
        <w:jc w:val="left"/>
        <w:rPr/>
      </w:pPr>
      <w:r>
        <w:rPr/>
        <w:t xml:space="preserve">après que Marion ait marqué manuellement la réservation « payée » sur le site, pour un paiement TPE sur place. </w:t>
      </w:r>
    </w:p>
    <w:p>
      <w:pPr>
        <w:pStyle w:val="Corpsdetexte"/>
        <w:numPr>
          <w:ilvl w:val="0"/>
          <w:numId w:val="18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>
          <w:rStyle w:val="Accentuationforte"/>
        </w:rPr>
        <w:t>Jamais de facture avant paiement effectif.</w:t>
      </w:r>
      <w:r>
        <w:rPr/>
        <w:t xml:space="preserve"> </w:t>
      </w:r>
    </w:p>
    <w:p>
      <w:pPr>
        <w:pStyle w:val="Corpsdetexte"/>
        <w:numPr>
          <w:ilvl w:val="0"/>
          <w:numId w:val="18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🔜 </w:t>
      </w:r>
      <w:r>
        <w:rPr/>
        <w:t xml:space="preserve">Export comptable (format, fréquence) : non défini, Marion n'a pas d'outil de comptabilité précis à ce jour — reporté en V2.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8. État des lieux &amp; gestion des dommages</w:t>
      </w:r>
    </w:p>
    <w:p>
      <w:pPr>
        <w:pStyle w:val="Corpsdetexte"/>
        <w:bidi w:val="0"/>
        <w:spacing w:before="0" w:after="283"/>
        <w:jc w:val="left"/>
        <w:rPr/>
      </w:pPr>
      <w:r>
        <w:rPr>
          <w:rStyle w:val="Accentuationforte"/>
        </w:rPr>
        <w:t>Processus de retour :</w:t>
      </w:r>
    </w:p>
    <w:p>
      <w:pPr>
        <w:pStyle w:val="Corpsdetexte"/>
        <w:numPr>
          <w:ilvl w:val="0"/>
          <w:numId w:val="19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Le client dépose physiquement le set, sans déclaration formelle à faire (il peut signaler un souci à l'oral, ce n'est pas obligatoire). </w:t>
      </w:r>
    </w:p>
    <w:p>
      <w:pPr>
        <w:pStyle w:val="Corpsdetexte"/>
        <w:numPr>
          <w:ilvl w:val="0"/>
          <w:numId w:val="19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Marion réalise l'état des lieux </w:t>
      </w:r>
      <w:r>
        <w:rPr>
          <w:rStyle w:val="Accentuationforte"/>
        </w:rPr>
        <w:t>plus tard</w:t>
      </w:r>
      <w:r>
        <w:rPr/>
        <w:t xml:space="preserve">, généralement le soir même — c'est elle seule qui valide si le set est rentré en bon état. </w:t>
      </w:r>
    </w:p>
    <w:p>
      <w:pPr>
        <w:pStyle w:val="Corpsdetexte"/>
        <w:numPr>
          <w:ilvl w:val="0"/>
          <w:numId w:val="19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Cette validation déclenche le compte à rebours des 48h avant libération automatique de la caution (cf. module 4).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Barème de pénalité :</w:t>
      </w:r>
    </w:p>
    <w:p>
      <w:pPr>
        <w:pStyle w:val="Corpsdetexte"/>
        <w:numPr>
          <w:ilvl w:val="0"/>
          <w:numId w:val="20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⏳ </w:t>
      </w:r>
      <w:r>
        <w:rPr/>
        <w:t xml:space="preserve">Non tranché (pièce manquante/cassée) — </w:t>
      </w:r>
      <w:r>
        <w:rPr>
          <w:rStyle w:val="Accentuationforte"/>
        </w:rPr>
        <w:t>ne pas développer les prélèvements automatiques sur caution avant réponse de Marion</w:t>
      </w:r>
      <w:r>
        <w:rPr/>
        <w:t xml:space="preserve">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9. Notifications automatisées</w:t>
      </w:r>
    </w:p>
    <w:p>
      <w:pPr>
        <w:pStyle w:val="Corpsdetexte"/>
        <w:numPr>
          <w:ilvl w:val="0"/>
          <w:numId w:val="21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Canal : email uniquement en V1 (pas de SMS). </w:t>
      </w:r>
    </w:p>
    <w:p>
      <w:pPr>
        <w:pStyle w:val="Corpsdetexte"/>
        <w:numPr>
          <w:ilvl w:val="0"/>
          <w:numId w:val="21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Rappel avant retour : envoyé </w:t>
      </w:r>
      <w:r>
        <w:rPr>
          <w:rStyle w:val="Accentuationforte"/>
        </w:rPr>
        <w:t>48h avant</w:t>
      </w:r>
      <w:r>
        <w:rPr/>
        <w:t xml:space="preserve"> la date de retour prévue. </w:t>
      </w:r>
    </w:p>
    <w:p>
      <w:pPr>
        <w:pStyle w:val="Corpsdetexte"/>
        <w:numPr>
          <w:ilvl w:val="0"/>
          <w:numId w:val="21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Relance en cas de retard : démarre </w:t>
      </w:r>
      <w:r>
        <w:rPr>
          <w:rStyle w:val="Accentuationforte"/>
        </w:rPr>
        <w:t>le lendemain</w:t>
      </w:r>
      <w:r>
        <w:rPr/>
        <w:t xml:space="preserve"> de la date de retour dépassée (vers 10h), puis </w:t>
      </w:r>
      <w:r>
        <w:rPr>
          <w:rStyle w:val="Accentuationforte"/>
        </w:rPr>
        <w:t>se répète chaque jour</w:t>
      </w:r>
      <w:r>
        <w:rPr/>
        <w:t xml:space="preserve"> tant que le set n'est pas rendu. </w:t>
      </w:r>
    </w:p>
    <w:p>
      <w:pPr>
        <w:pStyle w:val="Corpsdetexte"/>
        <w:numPr>
          <w:ilvl w:val="0"/>
          <w:numId w:val="21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Textes des emails rédigés par défaut par AGON-GATE, mais </w:t>
      </w:r>
      <w:r>
        <w:rPr>
          <w:rStyle w:val="Accentuationforte"/>
        </w:rPr>
        <w:t>Marion doit pouvoir les modifier elle-même</w:t>
      </w:r>
      <w:r>
        <w:rPr/>
        <w:t xml:space="preserve"> — prévoir un éditeur de templates dans le back-office.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10. Back-office &amp; reporting</w:t>
      </w:r>
    </w:p>
    <w:p>
      <w:pPr>
        <w:pStyle w:val="Corpsdetexte"/>
        <w:numPr>
          <w:ilvl w:val="0"/>
          <w:numId w:val="22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Deux comptes d'accès en V1 : Alexis (admin), Marion (compte propriétaire). Pas d'autre utilisateur prévu pour l'instant. </w:t>
      </w:r>
    </w:p>
    <w:p>
      <w:pPr>
        <w:pStyle w:val="Corpsdetexte"/>
        <w:numPr>
          <w:ilvl w:val="0"/>
          <w:numId w:val="22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Tableau de bord : chiffre d'affaires du mois, taux d'occupation par set, sets les plus loués. </w:t>
      </w:r>
    </w:p>
    <w:p>
      <w:pPr>
        <w:pStyle w:val="Corpsdetexte"/>
        <w:numPr>
          <w:ilvl w:val="0"/>
          <w:numId w:val="22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🔜 </w:t>
      </w:r>
      <w:r>
        <w:rPr/>
        <w:t xml:space="preserve">Export de données : reporté en V2 (même dépendance que l'export comptable du module 7).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11. Intégration, tests, déploiement, formation</w:t>
      </w:r>
    </w:p>
    <w:p>
      <w:pPr>
        <w:pStyle w:val="Corpsdetexte"/>
        <w:numPr>
          <w:ilvl w:val="0"/>
          <w:numId w:val="23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Formation destinée à Marion uniquement. </w:t>
      </w:r>
    </w:p>
    <w:p>
      <w:pPr>
        <w:pStyle w:val="Corpsdetexte"/>
        <w:numPr>
          <w:ilvl w:val="0"/>
          <w:numId w:val="23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Format : documentation écrite + sessions en présentiel chez elle (pas de visio prévue).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Récapitulatif des points bloquants (⏳ en attente de Marion)</w:t>
      </w:r>
    </w:p>
    <w:p>
      <w:pPr>
        <w:pStyle w:val="Corpsdetexte"/>
        <w:bidi w:val="0"/>
        <w:spacing w:before="0" w:after="283"/>
        <w:jc w:val="left"/>
        <w:rPr/>
      </w:pPr>
      <w:r>
        <w:rPr/>
        <w:t>Ne pas démarrer les modules 6 et 8 tant que les barèmes ne sont pas connus :</w:t>
      </w:r>
    </w:p>
    <w:p>
      <w:pPr>
        <w:pStyle w:val="Corpsdetexte"/>
        <w:numPr>
          <w:ilvl w:val="0"/>
          <w:numId w:val="24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Barème de pénalité en cas de pièce manquante ou cassée (modules 6, 8). </w:t>
      </w:r>
    </w:p>
    <w:p>
      <w:pPr>
        <w:pStyle w:val="Corpsdetexte"/>
        <w:numPr>
          <w:ilvl w:val="0"/>
          <w:numId w:val="24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Politique d'annulation (module 6). </w:t>
      </w:r>
    </w:p>
    <w:p>
      <w:pPr>
        <w:pStyle w:val="Corpsdetexte"/>
        <w:numPr>
          <w:ilvl w:val="0"/>
          <w:numId w:val="24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Pénalité de retard de retour (modules 6, 8). </w:t>
      </w:r>
    </w:p>
    <w:p>
      <w:pPr>
        <w:pStyle w:val="Corpsdetexte"/>
        <w:numPr>
          <w:ilvl w:val="0"/>
          <w:numId w:val="24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Délai minimum entre réservation et retrait (modules 2, 5). </w:t>
      </w:r>
    </w:p>
    <w:p>
      <w:pPr>
        <w:pStyle w:val="Corpsdetexte"/>
        <w:numPr>
          <w:ilvl w:val="0"/>
          <w:numId w:val="24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Gestion du client suivant en cas de non-retour dans les temps (modules 1, 2). </w:t>
      </w:r>
    </w:p>
    <w:p>
      <w:pPr>
        <w:pStyle w:val="Corpsdetexte"/>
        <w:numPr>
          <w:ilvl w:val="0"/>
          <w:numId w:val="24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Locations simultanées par client — oui/non (module 3). </w:t>
      </w:r>
    </w:p>
    <w:p>
      <w:pPr>
        <w:pStyle w:val="Corpsdetexte"/>
        <w:numPr>
          <w:ilvl w:val="0"/>
          <w:numId w:val="24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Pré-autorisation de la caution en cas de paiement TPE sur place (module 4). </w:t>
      </w:r>
    </w:p>
    <w:p>
      <w:pPr>
        <w:pStyle w:val="Titre2"/>
        <w:bidi w:val="0"/>
        <w:jc w:val="left"/>
        <w:rPr/>
      </w:pPr>
      <w:r>
        <w:rPr/>
        <w:t>Récapitulatif des points reportés en V2 (🔜)</w:t>
      </w:r>
    </w:p>
    <w:p>
      <w:pPr>
        <w:pStyle w:val="Corpsdetexte"/>
        <w:numPr>
          <w:ilvl w:val="0"/>
          <w:numId w:val="25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Prolongation d'une location en cours (module 2). </w:t>
      </w:r>
    </w:p>
    <w:p>
      <w:pPr>
        <w:pStyle w:val="Corpsdetexte"/>
        <w:numPr>
          <w:ilvl w:val="0"/>
          <w:numId w:val="25"/>
        </w:numPr>
        <w:tabs>
          <w:tab w:val="clear" w:pos="1134"/>
          <w:tab w:val="left" w:pos="707" w:leader="none"/>
        </w:tabs>
        <w:bidi w:val="0"/>
        <w:spacing w:before="0" w:after="283"/>
        <w:ind w:left="707" w:hanging="283"/>
        <w:jc w:val="left"/>
        <w:rPr/>
      </w:pPr>
      <w:r>
        <w:rPr/>
        <w:t xml:space="preserve">Export comptable / export de données (modules 7, 10). </w:t>
      </w:r>
    </w:p>
    <w:sectPr>
      <w:type w:val="nextPage"/>
      <w:pgSz w:w="11906" w:h="16838"/>
      <w:pgMar w:left="1134" w:right="567" w:header="0" w:top="567" w:footer="0" w:bottom="567" w:gutter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 Unicode MS">
    <w:charset w:val="00"/>
    <w:family w:val="auto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0"/>
    <w:family w:val="modern"/>
    <w:pitch w:val="fixed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707"/>
        </w:tabs>
        <w:ind w:left="707" w:hanging="283"/>
      </w:pPr>
      <w:rPr/>
    </w:lvl>
    <w:lvl w:ilvl="1">
      <w:start w:val="1"/>
      <w:numFmt w:val="decimal"/>
      <w:lvlText w:val="%2."/>
      <w:lvlJc w:val="left"/>
      <w:pPr>
        <w:tabs>
          <w:tab w:val="num" w:pos="1414"/>
        </w:tabs>
        <w:ind w:left="1414" w:hanging="283"/>
      </w:pPr>
      <w:rPr/>
    </w:lvl>
    <w:lvl w:ilvl="2">
      <w:start w:val="1"/>
      <w:numFmt w:val="decimal"/>
      <w:lvlText w:val="%3."/>
      <w:lvlJc w:val="left"/>
      <w:pPr>
        <w:tabs>
          <w:tab w:val="num" w:pos="2121"/>
        </w:tabs>
        <w:ind w:left="2121" w:hanging="283"/>
      </w:pPr>
      <w:rPr/>
    </w:lvl>
    <w:lvl w:ilvl="3">
      <w:start w:val="1"/>
      <w:numFmt w:val="decimal"/>
      <w:lvlText w:val="%4."/>
      <w:lvlJc w:val="left"/>
      <w:pPr>
        <w:tabs>
          <w:tab w:val="num" w:pos="2828"/>
        </w:tabs>
        <w:ind w:left="2828" w:hanging="283"/>
      </w:pPr>
      <w:rPr/>
    </w:lvl>
    <w:lvl w:ilvl="4">
      <w:start w:val="1"/>
      <w:numFmt w:val="decimal"/>
      <w:lvlText w:val="%5."/>
      <w:lvlJc w:val="left"/>
      <w:pPr>
        <w:tabs>
          <w:tab w:val="num" w:pos="3535"/>
        </w:tabs>
        <w:ind w:left="3535" w:hanging="283"/>
      </w:pPr>
      <w:rPr/>
    </w:lvl>
    <w:lvl w:ilvl="5">
      <w:start w:val="1"/>
      <w:numFmt w:val="decimal"/>
      <w:lvlText w:val="%6."/>
      <w:lvlJc w:val="left"/>
      <w:pPr>
        <w:tabs>
          <w:tab w:val="num" w:pos="4242"/>
        </w:tabs>
        <w:ind w:left="4242" w:hanging="283"/>
      </w:pPr>
      <w:rPr/>
    </w:lvl>
    <w:lvl w:ilvl="6">
      <w:start w:val="1"/>
      <w:numFmt w:val="decimal"/>
      <w:lvlText w:val="%7."/>
      <w:lvlJc w:val="left"/>
      <w:pPr>
        <w:tabs>
          <w:tab w:val="num" w:pos="4949"/>
        </w:tabs>
        <w:ind w:left="4949" w:hanging="283"/>
      </w:pPr>
      <w:rPr/>
    </w:lvl>
    <w:lvl w:ilvl="7">
      <w:start w:val="1"/>
      <w:numFmt w:val="decimal"/>
      <w:lvlText w:val="%8."/>
      <w:lvlJc w:val="left"/>
      <w:pPr>
        <w:tabs>
          <w:tab w:val="num" w:pos="5656"/>
        </w:tabs>
        <w:ind w:left="5656" w:hanging="283"/>
      </w:pPr>
      <w:rPr/>
    </w:lvl>
    <w:lvl w:ilvl="8">
      <w:start w:val="1"/>
      <w:numFmt w:val="decimal"/>
      <w:lvlText w:val="%9."/>
      <w:lvlJc w:val="left"/>
      <w:pPr>
        <w:tabs>
          <w:tab w:val="num" w:pos="6363"/>
        </w:tabs>
        <w:ind w:left="6363" w:hanging="283"/>
      </w:pPr>
      <w:rPr/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707"/>
        </w:tabs>
        <w:ind w:left="707" w:hanging="283"/>
      </w:pPr>
      <w:rPr/>
    </w:lvl>
    <w:lvl w:ilvl="1">
      <w:start w:val="1"/>
      <w:numFmt w:val="decimal"/>
      <w:lvlText w:val="%2."/>
      <w:lvlJc w:val="left"/>
      <w:pPr>
        <w:tabs>
          <w:tab w:val="num" w:pos="1414"/>
        </w:tabs>
        <w:ind w:left="1414" w:hanging="283"/>
      </w:pPr>
      <w:rPr/>
    </w:lvl>
    <w:lvl w:ilvl="2">
      <w:start w:val="1"/>
      <w:numFmt w:val="decimal"/>
      <w:lvlText w:val="%3."/>
      <w:lvlJc w:val="left"/>
      <w:pPr>
        <w:tabs>
          <w:tab w:val="num" w:pos="2121"/>
        </w:tabs>
        <w:ind w:left="2121" w:hanging="283"/>
      </w:pPr>
      <w:rPr/>
    </w:lvl>
    <w:lvl w:ilvl="3">
      <w:start w:val="1"/>
      <w:numFmt w:val="decimal"/>
      <w:lvlText w:val="%4."/>
      <w:lvlJc w:val="left"/>
      <w:pPr>
        <w:tabs>
          <w:tab w:val="num" w:pos="2828"/>
        </w:tabs>
        <w:ind w:left="2828" w:hanging="283"/>
      </w:pPr>
      <w:rPr/>
    </w:lvl>
    <w:lvl w:ilvl="4">
      <w:start w:val="1"/>
      <w:numFmt w:val="decimal"/>
      <w:lvlText w:val="%5."/>
      <w:lvlJc w:val="left"/>
      <w:pPr>
        <w:tabs>
          <w:tab w:val="num" w:pos="3535"/>
        </w:tabs>
        <w:ind w:left="3535" w:hanging="283"/>
      </w:pPr>
      <w:rPr/>
    </w:lvl>
    <w:lvl w:ilvl="5">
      <w:start w:val="1"/>
      <w:numFmt w:val="decimal"/>
      <w:lvlText w:val="%6."/>
      <w:lvlJc w:val="left"/>
      <w:pPr>
        <w:tabs>
          <w:tab w:val="num" w:pos="4242"/>
        </w:tabs>
        <w:ind w:left="4242" w:hanging="283"/>
      </w:pPr>
      <w:rPr/>
    </w:lvl>
    <w:lvl w:ilvl="6">
      <w:start w:val="1"/>
      <w:numFmt w:val="decimal"/>
      <w:lvlText w:val="%7."/>
      <w:lvlJc w:val="left"/>
      <w:pPr>
        <w:tabs>
          <w:tab w:val="num" w:pos="4949"/>
        </w:tabs>
        <w:ind w:left="4949" w:hanging="283"/>
      </w:pPr>
      <w:rPr/>
    </w:lvl>
    <w:lvl w:ilvl="7">
      <w:start w:val="1"/>
      <w:numFmt w:val="decimal"/>
      <w:lvlText w:val="%8."/>
      <w:lvlJc w:val="left"/>
      <w:pPr>
        <w:tabs>
          <w:tab w:val="num" w:pos="5656"/>
        </w:tabs>
        <w:ind w:left="5656" w:hanging="283"/>
      </w:pPr>
      <w:rPr/>
    </w:lvl>
    <w:lvl w:ilvl="8">
      <w:start w:val="1"/>
      <w:numFmt w:val="decimal"/>
      <w:lvlText w:val="%9."/>
      <w:lvlJc w:val="left"/>
      <w:pPr>
        <w:tabs>
          <w:tab w:val="num" w:pos="6363"/>
        </w:tabs>
        <w:ind w:left="6363" w:hanging="283"/>
      </w:pPr>
      <w:rPr/>
    </w:lvl>
  </w:abstractNum>
  <w:abstractNum w:abstractNumId="2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SimSun" w:cs="Arial"/>
      <w:color w:val="auto"/>
      <w:sz w:val="24"/>
      <w:szCs w:val="24"/>
      <w:lang w:val="fr-FR" w:eastAsia="zh-CN" w:bidi="hi-IN"/>
    </w:rPr>
  </w:style>
  <w:style w:type="paragraph" w:styleId="Titre1">
    <w:name w:val="Heading 1"/>
    <w:basedOn w:val="Titre"/>
    <w:next w:val="Corpsdetexte"/>
    <w:qFormat/>
    <w:pPr/>
    <w:rPr>
      <w:rFonts w:ascii="Liberation Sans Unicode MS" w:hAnsi="Liberation Sans Unicode MS"/>
      <w:b/>
      <w:bCs/>
      <w:sz w:val="48"/>
      <w:szCs w:val="44"/>
    </w:rPr>
  </w:style>
  <w:style w:type="paragraph" w:styleId="Titre2">
    <w:name w:val="Heading 2"/>
    <w:basedOn w:val="Titre"/>
    <w:next w:val="Corpsdetexte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character" w:styleId="Caractresdenotedefin">
    <w:name w:val="Caractères de note de fin"/>
    <w:qFormat/>
    <w:rPr/>
  </w:style>
  <w:style w:type="character" w:styleId="Caractresdenotedebasdepage">
    <w:name w:val="Caractères de note de bas de page"/>
    <w:qFormat/>
    <w:rPr/>
  </w:style>
  <w:style w:type="character" w:styleId="LienInternet">
    <w:name w:val="Lien Internet"/>
    <w:rPr>
      <w:color w:val="000080"/>
      <w:u w:val="single"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character" w:styleId="Accentuationforte">
    <w:name w:val="Accentuation forte"/>
    <w:qFormat/>
    <w:rPr>
      <w:b/>
      <w:bCs/>
    </w:rPr>
  </w:style>
  <w:style w:type="character" w:styleId="Textesource">
    <w:name w:val="Texte source"/>
    <w:qFormat/>
    <w:rPr>
      <w:rFonts w:ascii="Liberation Mono" w:hAnsi="Liberation Mono" w:eastAsia="NSimSun" w:cs="Liberation Mono"/>
    </w:rPr>
  </w:style>
  <w:style w:type="character" w:styleId="Caractresdenumrotation">
    <w:name w:val="Caractères de numérotation"/>
    <w:qFormat/>
    <w:rPr/>
  </w:style>
  <w:style w:type="paragraph" w:styleId="Lignehorizontale">
    <w:name w:val="Ligne horizontale"/>
    <w:basedOn w:val="Normal"/>
    <w:next w:val="Corpsdetexte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xpditeur">
    <w:name w:val="Envelope Return"/>
    <w:basedOn w:val="Normal"/>
    <w:pPr/>
    <w:rPr>
      <w:i/>
    </w:rPr>
  </w:style>
  <w:style w:type="paragraph" w:styleId="Contenudetableau">
    <w:name w:val="Contenu de tableau"/>
    <w:basedOn w:val="Corpsdetexte"/>
    <w:qFormat/>
    <w:pPr/>
    <w:rPr/>
  </w:style>
  <w:style w:type="paragraph" w:styleId="Pieddepage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Entte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Entteetpieddepage">
    <w:name w:val="En-tête et pied de page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Liste">
    <w:name w:val="List"/>
    <w:basedOn w:val="Corpsdetexte"/>
    <w:pPr/>
    <w:rPr>
      <w:rFonts w:cs="Arial"/>
    </w:rPr>
  </w:style>
  <w:style w:type="paragraph" w:styleId="Corpsdetexte">
    <w:name w:val="Body Text"/>
    <w:basedOn w:val="Normal"/>
    <w:pPr>
      <w:spacing w:before="0" w:after="283"/>
    </w:pPr>
    <w:rPr/>
  </w:style>
  <w:style w:type="paragraph" w:styleId="Titre">
    <w:name w:val="Titre"/>
    <w:basedOn w:val="Normal"/>
    <w:next w:val="Corpsdetexte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Citations">
    <w:name w:val="Citations"/>
    <w:basedOn w:val="Normal"/>
    <w:qFormat/>
    <w:pPr>
      <w:spacing w:before="0" w:after="283"/>
      <w:ind w:left="567" w:right="567" w:hanging="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LibreOffice/7.0.1.2$Windows_X86_64 LibreOffice_project/7cbcfc562f6eb6708b5ff7d7397325de9e764452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fr-FR</dc:language>
  <cp:lastModifiedBy/>
  <cp:revision>0</cp:revision>
  <dc:subject/>
  <dc:title>Spécification fonctionnelle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