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1F5496"/>
          <w:sz w:val="44"/>
        </w:rPr>
        <w:t>每日SSCI文献简报｜2026-06-29</w:t>
      </w:r>
    </w:p>
    <w:p>
      <w:pPr>
        <w:jc w:val="center"/>
      </w:pPr>
      <w:r>
        <w:rPr>
          <w:color w:val="596882"/>
          <w:sz w:val="22"/>
        </w:rPr>
        <w:t>学前与基础教育 · AI教学应用 · 教师数字/智能/数据素养 · 教师教育</w:t>
      </w:r>
    </w:p>
    <w:tbl>
      <w:tblPr>
        <w:tblStyle w:val="LightShading-Accent1"/>
        <w:tblW w:type="auto" w:w="0"/>
        <w:tblLook w:firstColumn="1" w:firstRow="1" w:lastColumn="0" w:lastRow="0" w:noHBand="0" w:noVBand="1" w:val="04A0"/>
      </w:tblPr>
      <w:tblGrid>
        <w:gridCol w:w="4997"/>
        <w:gridCol w:w="4997"/>
      </w:tblGrid>
      <w:tr>
        <w:tc>
          <w:tcPr>
            <w:tcW w:type="dxa" w:w="4997"/>
          </w:tcPr>
          <w:p>
            <w:r>
              <w:rPr>
                <w:b/>
              </w:rPr>
              <w:t>生成时间</w:t>
            </w:r>
          </w:p>
        </w:tc>
        <w:tc>
          <w:tcPr>
            <w:tcW w:type="dxa" w:w="4997"/>
          </w:tcPr>
          <w:p>
            <w:r>
              <w:t>2026-06-29 18:41:34（北京时间）</w:t>
            </w:r>
          </w:p>
        </w:tc>
      </w:tr>
      <w:tr>
        <w:tc>
          <w:tcPr>
            <w:tcW w:type="dxa" w:w="4997"/>
          </w:tcPr>
          <w:p>
            <w:r>
              <w:rPr>
                <w:b/>
              </w:rPr>
              <w:t>检索窗口</w:t>
            </w:r>
          </w:p>
        </w:tc>
        <w:tc>
          <w:tcPr>
            <w:tcW w:type="dxa" w:w="4997"/>
          </w:tcPr>
          <w:p>
            <w:r>
              <w:t>近1年：2025-06-29 — 2026-06-29</w:t>
            </w:r>
          </w:p>
        </w:tc>
      </w:tr>
      <w:tr>
        <w:tc>
          <w:tcPr>
            <w:tcW w:type="dxa" w:w="4997"/>
          </w:tcPr>
          <w:p>
            <w:r>
              <w:rPr>
                <w:b/>
              </w:rPr>
              <w:t>检索与筛选</w:t>
            </w:r>
          </w:p>
        </w:tc>
        <w:tc>
          <w:tcPr>
            <w:tcW w:type="dxa" w:w="4997"/>
          </w:tcPr>
          <w:p>
            <w:r>
              <w:t>检索 400 篇；筛选 4 篇；AI成功 4 篇</w:t>
            </w:r>
          </w:p>
        </w:tc>
      </w:tr>
      <w:tr>
        <w:tc>
          <w:tcPr>
            <w:tcW w:type="dxa" w:w="4997"/>
          </w:tcPr>
          <w:p>
            <w:r>
              <w:rPr>
                <w:b/>
              </w:rPr>
              <w:t>本地文件</w:t>
            </w:r>
          </w:p>
        </w:tc>
        <w:tc>
          <w:tcPr>
            <w:tcW w:type="dxa" w:w="4997"/>
          </w:tcPr>
          <w:p>
            <w:r>
              <w:t>Markdown 与 Word 文档已保存至 daily/ 目录</w:t>
            </w:r>
          </w:p>
        </w:tc>
      </w:tr>
    </w:tbl>
    <w:p/>
    <w:p>
      <w:pPr>
        <w:pStyle w:val="Heading1"/>
      </w:pPr>
      <w:r>
        <w:t>一、今日研究亮点总结</w:t>
      </w:r>
    </w:p>
    <w:p>
      <w:pPr>
        <w:spacing w:before="80" w:after="200"/>
        <w:ind w:left="259" w:right="115"/>
        <w:shd w:fill="EEF4FF"/>
      </w:pPr>
      <w:r>
        <w:rPr>
          <w:i/>
          <w:color w:val="42526E"/>
        </w:rPr>
        <w:t>今日文献聚焦教师教育中的AI与数字技术整合，强调从工具使用转向学习设计、信念转化与社会责任培养，兼具实践框架与方法创新。</w:t>
      </w:r>
    </w:p>
    <w:p>
      <w:pPr>
        <w:pStyle w:val="Heading1"/>
      </w:pPr>
      <w:r>
        <w:t>目录</w:t>
      </w:r>
    </w:p>
    <w:p>
      <w:pPr>
        <w:pStyle w:val="ListNumber"/>
      </w:pPr>
      <w:r>
        <w:rPr>
          <w:b/>
        </w:rPr>
        <w:t>课堂数字游戏整合实践框架：探究科学教师的建构主义信念与数字游戏化学习实践</w:t>
      </w:r>
      <w:r>
        <w:t>｜Education and Information Technologies｜2026-06-25</w:t>
      </w:r>
    </w:p>
    <w:p>
      <w:pPr>
        <w:pStyle w:val="ListNumber"/>
      </w:pPr>
      <w:r>
        <w:rPr>
          <w:b/>
        </w:rPr>
        <w:t>职前数学教师在设计户外数学学习活动过程中与ChatGPT的互动：提示词类型与活动质量</w:t>
      </w:r>
      <w:r>
        <w:t>｜International Journal of Science and Mathematics Education｜2026-06-26</w:t>
      </w:r>
    </w:p>
    <w:p>
      <w:pPr>
        <w:pStyle w:val="ListNumber"/>
      </w:pPr>
      <w:r>
        <w:rPr>
          <w:b/>
        </w:rPr>
        <w:t>与生成式人工智能共同学习意味着什么：基于Q方法研究的师范生生成式人工智能学习观理论化分析</w:t>
      </w:r>
      <w:r>
        <w:t>｜European Journal of Teacher Education｜2026-06-25</w:t>
      </w:r>
    </w:p>
    <w:p>
      <w:pPr>
        <w:pStyle w:val="ListNumber"/>
      </w:pPr>
      <w:r>
        <w:rPr>
          <w:b/>
        </w:rPr>
        <w:t>志愿服务动机与可持续发展意识对职前教师个人社会责任的预测作用</w:t>
      </w:r>
      <w:r>
        <w:t>｜Frontiers in Psychology｜2026-06-24</w:t>
      </w:r>
    </w:p>
    <w:p>
      <w:pPr>
        <w:sectPr>
          <w:pgSz w:w="12240" w:h="15840"/>
          <w:pgMar w:top="1037" w:right="1123" w:bottom="1037" w:left="1123" w:header="720" w:footer="720" w:gutter="0"/>
          <w:cols w:space="720"/>
          <w:docGrid w:linePitch="360"/>
        </w:sectPr>
      </w:pPr>
    </w:p>
    <w:p>
      <w:pPr>
        <w:pStyle w:val="Heading1"/>
      </w:pPr>
      <w:r>
        <w:t>二、文献摘要</w:t>
      </w:r>
    </w:p>
    <w:p>
      <w:pPr>
        <w:pStyle w:val="Heading2"/>
      </w:pPr>
      <w:r>
        <w:t>1. Classroom digital game integration practices framework: exploring science teachers’ constructivist beliefs and digital game-based learning practices / 课堂数字游戏整合实践框架：探究科学教师的建构主义信念与数字游戏化学习实践</w:t>
      </w:r>
    </w:p>
    <w:tbl>
      <w:tblPr>
        <w:tblStyle w:val="LightList-Accent1"/>
        <w:tblW w:type="auto" w:w="0"/>
        <w:tblLook w:firstColumn="1" w:firstRow="1" w:lastColumn="0" w:lastRow="0" w:noHBand="0" w:noVBand="1" w:val="04A0"/>
      </w:tblPr>
      <w:tblGrid>
        <w:gridCol w:w="4997"/>
        <w:gridCol w:w="4997"/>
      </w:tblGrid>
      <w:tr>
        <w:tc>
          <w:tcPr>
            <w:tcW w:type="dxa" w:w="4997"/>
          </w:tcPr>
          <w:p>
            <w:r>
              <w:rPr>
                <w:b/>
              </w:rPr>
              <w:t>标题</w:t>
            </w:r>
          </w:p>
        </w:tc>
        <w:tc>
          <w:tcPr>
            <w:tcW w:type="dxa" w:w="4997"/>
          </w:tcPr>
          <w:p>
            <w:r>
              <w:t>Classroom digital game integration practices framework: exploring science teachers’ constructivist beliefs and digital game-based learning practices / 课堂数字游戏整合实践框架：探究科学教师的建构主义信念与数字游戏化学习实践</w:t>
            </w:r>
          </w:p>
        </w:tc>
      </w:tr>
      <w:tr>
        <w:tc>
          <w:tcPr>
            <w:tcW w:type="dxa" w:w="4997"/>
          </w:tcPr>
          <w:p>
            <w:r>
              <w:rPr>
                <w:b/>
              </w:rPr>
              <w:t>作者</w:t>
            </w:r>
          </w:p>
        </w:tc>
        <w:tc>
          <w:tcPr>
            <w:tcW w:type="dxa" w:w="4997"/>
          </w:tcPr>
          <w:p>
            <w:r>
              <w:t>Iqbal Ainur Rizki, Anne Yates</w:t>
            </w:r>
          </w:p>
        </w:tc>
      </w:tr>
      <w:tr>
        <w:tc>
          <w:tcPr>
            <w:tcW w:type="dxa" w:w="4997"/>
          </w:tcPr>
          <w:p>
            <w:r>
              <w:rPr>
                <w:b/>
              </w:rPr>
              <w:t>期刊及影响因子</w:t>
            </w:r>
          </w:p>
        </w:tc>
        <w:tc>
          <w:tcPr>
            <w:tcW w:type="dxa" w:w="4997"/>
          </w:tcPr>
          <w:p>
            <w:r>
              <w:t>期刊：Education and Information Technologies；SSCI分类：Education &amp; Educational Research；影响因子/分区：白名单未提供影响因子 / 白名单未提供JCR分区</w:t>
            </w:r>
          </w:p>
        </w:tc>
      </w:tr>
      <w:tr>
        <w:tc>
          <w:tcPr>
            <w:tcW w:type="dxa" w:w="4997"/>
          </w:tcPr>
          <w:p>
            <w:r>
              <w:rPr>
                <w:b/>
              </w:rPr>
              <w:t>卷期/DOI</w:t>
            </w:r>
          </w:p>
        </w:tc>
        <w:tc>
          <w:tcPr>
            <w:tcW w:type="dxa" w:w="4997"/>
          </w:tcPr>
          <w:p>
            <w:r>
              <w:t>卷期：摘要未说明；DOI：https://doi.org/10.1007/s10639-026-14062-5</w:t>
            </w:r>
          </w:p>
        </w:tc>
      </w:tr>
      <w:tr>
        <w:tc>
          <w:tcPr>
            <w:tcW w:type="dxa" w:w="4997"/>
          </w:tcPr>
          <w:p>
            <w:r>
              <w:rPr>
                <w:b/>
              </w:rPr>
              <w:t>在线发表时间</w:t>
            </w:r>
          </w:p>
        </w:tc>
        <w:tc>
          <w:tcPr>
            <w:tcW w:type="dxa" w:w="4997"/>
          </w:tcPr>
          <w:p>
            <w:r>
              <w:t>2026-06-25</w:t>
            </w:r>
          </w:p>
        </w:tc>
      </w:tr>
      <w:tr>
        <w:tc>
          <w:tcPr>
            <w:tcW w:type="dxa" w:w="4997"/>
          </w:tcPr>
          <w:p>
            <w:r>
              <w:rPr>
                <w:b/>
              </w:rPr>
              <w:t>SSCI分类</w:t>
            </w:r>
          </w:p>
        </w:tc>
        <w:tc>
          <w:tcPr>
            <w:tcW w:type="dxa" w:w="4997"/>
          </w:tcPr>
          <w:p>
            <w:r>
              <w:t>Education &amp; Educational Research；English</w:t>
            </w:r>
          </w:p>
        </w:tc>
      </w:tr>
      <w:tr>
        <w:tc>
          <w:tcPr>
            <w:tcW w:type="dxa" w:w="4997"/>
          </w:tcPr>
          <w:p>
            <w:r>
              <w:rPr>
                <w:b/>
              </w:rPr>
              <w:t>论文链接</w:t>
            </w:r>
          </w:p>
        </w:tc>
        <w:tc>
          <w:tcPr>
            <w:tcW w:type="dxa" w:w="4997"/>
          </w:tcPr>
          <w:p>
            <w:hyperlink r:id="rId9">
              <w:r>
                <w:rPr>
                  <w:color w:val="0563C1"/>
                  <w:u w:val="single"/>
                </w:rPr>
                <w:t>https://doi.org/10.1007/s10639-026-14062-5</w:t>
              </w:r>
            </w:hyperlink>
          </w:p>
        </w:tc>
      </w:tr>
    </w:tbl>
    <w:p>
      <w:pPr>
        <w:pStyle w:val="Heading3"/>
      </w:pPr>
      <w:r>
        <w:t>研究摘要</w:t>
      </w:r>
    </w:p>
    <w:p>
      <w:r>
        <w:t>本研究关注数字游戏化学习（DGBL）在课堂中的整合实践，尤其探讨科学教师的学生中心/建构主义教学信念如何在实际课堂数字游戏整合中被 enact（体现或落实）。研究指出，虽然已有证据支持数字游戏化学习的有效性，也已有研究强调教师教学信念会影响技术整合，但关于建构主义信念如何具体转化为课堂数字游戏化学习实践，仍需进一步研究。研究采用多案例研究设计，考察5名具有较强学生中心取向且有DGBL经验的印度尼西亚高中科学教师。数据来自课堂观察、文档分析和问卷，并使用反思性主题分析。研究识别出两种DGBL整合模式：平行实践与整合实践，并进一步提出课堂数字游戏整合实践（CDGIP）框架，将教师DGBL实践划分为传递型、补充型、增强型和转化型四类。</w:t>
      </w:r>
    </w:p>
    <w:p>
      <w:pPr>
        <w:pStyle w:val="Heading3"/>
      </w:pPr>
      <w:r>
        <w:t>研究主要内容</w:t>
      </w:r>
    </w:p>
    <w:p>
      <w:r>
        <w:t>论文的核心内容是分析教师建构主义教学信念与实际数字游戏化学习课堂实践之间的关系。研究不仅描述教师如何使用数字游戏，还进一步区分数字游戏在教学中的不同 pedagogical role，即其是作为评估工具、补充材料、增强学习活动的工具，还是推动学生中心学习与教学转化的媒介。研究对象为高中科学教师，不属于学前、小学或初中阶段；</w:t>
      </w:r>
    </w:p>
    <w:p>
      <w:r>
        <w:t>因此，对基础教育低学段教师教育的直接适用性需谨慎判断，但其关于教师信念、数字游戏整合层次和专业发展需求的分析，对教师数字素养、AI/教育技术整合培训研究仍有参考价值。</w:t>
      </w:r>
    </w:p>
    <w:p>
      <w:pPr>
        <w:pStyle w:val="Heading3"/>
      </w:pPr>
      <w:r>
        <w:t>研究论点</w:t>
      </w:r>
    </w:p>
    <w:p>
      <w:r>
        <w:t>论文主张，教师具有学生中心或建构主义教学信念，并不必然意味着其数字游戏化学习实践也会自然体现建构主义取向。数字游戏在课堂中的作用取决于教师如何将其嵌入教学目标、学习活动与学生互动之中。只有当数字游戏与建构主义教学过程深度结合时，DGBL才可能从补充性工具转向增强性或转化性教学实践。</w:t>
      </w:r>
    </w:p>
    <w:p>
      <w:pPr>
        <w:pStyle w:val="Heading3"/>
      </w:pPr>
      <w:r>
        <w:t>研究问题</w:t>
      </w:r>
    </w:p>
    <w:p>
      <w:r>
        <w:t>研究主要问题是：科学教师的学生中心/建构主义教学信念如何在课堂数字游戏化学习整合实践中体现？同时，研究也隐含关注不同教师在DGBL整合中的实践模式有何差异，以及如何建立一个框架来分类教师的课堂数字游戏整合实践。</w:t>
      </w:r>
    </w:p>
    <w:p>
      <w:pPr>
        <w:pStyle w:val="Heading3"/>
      </w:pPr>
      <w:r>
        <w:t>研究方法</w:t>
      </w:r>
    </w:p>
    <w:p>
      <w:r>
        <w:t>{'research_type': '定性研究为主。摘要明确说明采用 multiple case study design（多案例研究设计），并使用 reflexive thematic analysis（反思性主题分析）。虽然使用了问卷，但摘要未说明是否进行定量统计分析，因此不能判断为混合研究。', 'sample_participants': '5名印度尼西亚高中科学教师。参与者通过目的性抽样选取，标准是具有较强学生中心教学取向，并具备数字游戏化学习经验。', 'education_stage': '高中阶段；</w:t>
      </w:r>
    </w:p>
    <w:p>
      <w:r>
        <w:t>不属于用户重点关注的学前、小学或初中阶段。', 'data_sources': '课堂观察、文档分析、问卷。', 'data_collection': '摘要说明通过课堂观察、文档分析和问卷收集数据，但未说明观察次数、观察时长、文档类型、问卷内容或实施流程。', 'analysis_method': '反思性主题分析。摘要未说明具体编码流程、研究者三角互证、信度检验或质性分析软件使用情况。', 'missing_information': '摘要未说明教师性别、教龄、学校类型、班级规模、学生数据是否被收集、问卷量表来源、案例比较步骤、伦理审批或研究局限。'}</w:t>
      </w:r>
    </w:p>
    <w:p>
      <w:pPr>
        <w:pStyle w:val="Heading3"/>
      </w:pPr>
      <w:r>
        <w:t>主要发现</w:t>
      </w:r>
    </w:p>
    <w:p>
      <w:r>
        <w:t>['研究发现两种不同的数字游戏化学习整合实践模式：平行实践与整合实践。平行实践中，数字游戏主要被用作评估工具，并与建构主义教学活动相对分离。', '整合实践中，数字游戏被较自然地嵌入建构主义教学过程，能够服务于学生中心学习目标，而不仅是课堂活动之后的附加练习或测验。', '研究提出课堂数字游戏整合实践（CDGIP）框架，将DGBL实践分为传递型、补充型、增强型和转化型。整合实践更接近增强型和转化型，平行实践则主要停留在补充型。', '即使参与教师都声称或表现出较强建构主义信念，其真实课堂DGBL实施仍存在差异，说明教师信念与课堂技术整合实践之间并非简单的一一对应关系。']</w:t>
      </w:r>
    </w:p>
    <w:p>
      <w:pPr>
        <w:pStyle w:val="Heading3"/>
      </w:pPr>
      <w:r>
        <w:t>对教师教育研究的启示</w:t>
      </w:r>
    </w:p>
    <w:p>
      <w:r>
        <w:t>['教师教育和在职培训不能只培养教师对数字游戏或教育技术的积极态度，还应关注教师如何将技术嵌入教学目标、学习任务、互动结构和评价方式中。', '该研究提供了一个可用于教师数字素养/技术整合培训的分析框架，即CDGIP框架，可帮助研究者和培训者区分教师技术使用是传递型、补充型、增强型还是转化型。', '对研究设计的启示是，考察教师数字技术整合不宜只依赖问卷测量教师信念，应结合课堂观察、文档分析等数据，以比较教师“所信”与“所做”之间的关系。', '对基础教育教师培训研究而言，可借鉴其多案例研究设计，深入分析小学或初中教师在数字游戏、AI教学工具或智能学习平台使用中的实践层次与教学信念之间的张力。', '该研究提示未来教师教育研究应关注专业发展如何支持教师从工具性、补充性技术使用转向以学生中心学习为导向的增强型和转化型教学实践。']</w:t>
      </w:r>
    </w:p>
    <w:p>
      <w:pPr>
        <w:pStyle w:val="Heading3"/>
      </w:pPr>
      <w:r>
        <w:t>APA引用格式</w:t>
      </w:r>
    </w:p>
    <w:p>
      <w:r>
        <w:t>Rizki, I. A., &amp; Yates, A. (2026). Classroom digital game integration practices framework: Exploring science teachers’ constructivist beliefs and digital game-based learning practices. Education and Information Technologies. https://doi.org/10.1007/s10639-026-14062-5</w:t>
      </w:r>
    </w:p>
    <w:p>
      <w:r>
        <w:br w:type="page"/>
      </w:r>
    </w:p>
    <w:p>
      <w:pPr>
        <w:pStyle w:val="Heading2"/>
      </w:pPr>
      <w:r>
        <w:t>2. Pre-Service Mathematics Teachers’ Interaction with ChatGPT During the Design of Outdoor Mathematics Learning Activities: Prompt Types and Activity Quality / 职前数学教师在设计户外数学学习活动过程中与ChatGPT的互动：提示词类型与活动质量</w:t>
      </w:r>
    </w:p>
    <w:tbl>
      <w:tblPr>
        <w:tblStyle w:val="LightList-Accent1"/>
        <w:tblW w:type="auto" w:w="0"/>
        <w:tblLook w:firstColumn="1" w:firstRow="1" w:lastColumn="0" w:lastRow="0" w:noHBand="0" w:noVBand="1" w:val="04A0"/>
      </w:tblPr>
      <w:tblGrid>
        <w:gridCol w:w="4997"/>
        <w:gridCol w:w="4997"/>
      </w:tblGrid>
      <w:tr>
        <w:tc>
          <w:tcPr>
            <w:tcW w:type="dxa" w:w="4997"/>
          </w:tcPr>
          <w:p>
            <w:r>
              <w:rPr>
                <w:b/>
              </w:rPr>
              <w:t>标题</w:t>
            </w:r>
          </w:p>
        </w:tc>
        <w:tc>
          <w:tcPr>
            <w:tcW w:type="dxa" w:w="4997"/>
          </w:tcPr>
          <w:p>
            <w:r>
              <w:t>Pre-Service Mathematics Teachers’ Interaction with ChatGPT During the Design of Outdoor Mathematics Learning Activities: Prompt Types and Activity Quality / 职前数学教师在设计户外数学学习活动过程中与ChatGPT的互动：提示词类型与活动质量</w:t>
            </w:r>
          </w:p>
        </w:tc>
      </w:tr>
      <w:tr>
        <w:tc>
          <w:tcPr>
            <w:tcW w:type="dxa" w:w="4997"/>
          </w:tcPr>
          <w:p>
            <w:r>
              <w:rPr>
                <w:b/>
              </w:rPr>
              <w:t>作者</w:t>
            </w:r>
          </w:p>
        </w:tc>
        <w:tc>
          <w:tcPr>
            <w:tcW w:type="dxa" w:w="4997"/>
          </w:tcPr>
          <w:p>
            <w:r>
              <w:t>Mustafa Zeki Aydoğdu, Dilek GİRİT YILDIZ</w:t>
            </w:r>
          </w:p>
        </w:tc>
      </w:tr>
      <w:tr>
        <w:tc>
          <w:tcPr>
            <w:tcW w:type="dxa" w:w="4997"/>
          </w:tcPr>
          <w:p>
            <w:r>
              <w:rPr>
                <w:b/>
              </w:rPr>
              <w:t>期刊及影响因子</w:t>
            </w:r>
          </w:p>
        </w:tc>
        <w:tc>
          <w:tcPr>
            <w:tcW w:type="dxa" w:w="4997"/>
          </w:tcPr>
          <w:p>
            <w:r>
              <w:t>期刊：International Journal of Science and Mathematics Education；SSCI分类：Education &amp; Educational Research；影响因子/分区：白名单未提供影响因子 / 白名单未提供JCR分区</w:t>
            </w:r>
          </w:p>
        </w:tc>
      </w:tr>
      <w:tr>
        <w:tc>
          <w:tcPr>
            <w:tcW w:type="dxa" w:w="4997"/>
          </w:tcPr>
          <w:p>
            <w:r>
              <w:rPr>
                <w:b/>
              </w:rPr>
              <w:t>卷期/DOI</w:t>
            </w:r>
          </w:p>
        </w:tc>
        <w:tc>
          <w:tcPr>
            <w:tcW w:type="dxa" w:w="4997"/>
          </w:tcPr>
          <w:p>
            <w:r>
              <w:t>卷期：摘要未说明；DOI：https://doi.org/10.1007/s10763-026-10699-3</w:t>
            </w:r>
          </w:p>
        </w:tc>
      </w:tr>
      <w:tr>
        <w:tc>
          <w:tcPr>
            <w:tcW w:type="dxa" w:w="4997"/>
          </w:tcPr>
          <w:p>
            <w:r>
              <w:rPr>
                <w:b/>
              </w:rPr>
              <w:t>在线发表时间</w:t>
            </w:r>
          </w:p>
        </w:tc>
        <w:tc>
          <w:tcPr>
            <w:tcW w:type="dxa" w:w="4997"/>
          </w:tcPr>
          <w:p>
            <w:r>
              <w:t>2026-06-26</w:t>
            </w:r>
          </w:p>
        </w:tc>
      </w:tr>
      <w:tr>
        <w:tc>
          <w:tcPr>
            <w:tcW w:type="dxa" w:w="4997"/>
          </w:tcPr>
          <w:p>
            <w:r>
              <w:rPr>
                <w:b/>
              </w:rPr>
              <w:t>SSCI分类</w:t>
            </w:r>
          </w:p>
        </w:tc>
        <w:tc>
          <w:tcPr>
            <w:tcW w:type="dxa" w:w="4997"/>
          </w:tcPr>
          <w:p>
            <w:r>
              <w:t>Education &amp; Educational Research；English</w:t>
            </w:r>
          </w:p>
        </w:tc>
      </w:tr>
      <w:tr>
        <w:tc>
          <w:tcPr>
            <w:tcW w:type="dxa" w:w="4997"/>
          </w:tcPr>
          <w:p>
            <w:r>
              <w:rPr>
                <w:b/>
              </w:rPr>
              <w:t>论文链接</w:t>
            </w:r>
          </w:p>
        </w:tc>
        <w:tc>
          <w:tcPr>
            <w:tcW w:type="dxa" w:w="4997"/>
          </w:tcPr>
          <w:p>
            <w:hyperlink r:id="rId10">
              <w:r>
                <w:rPr>
                  <w:color w:val="0563C1"/>
                  <w:u w:val="single"/>
                </w:rPr>
                <w:t>https://doi.org/10.1007/s10763-026-10699-3</w:t>
              </w:r>
            </w:hyperlink>
          </w:p>
        </w:tc>
      </w:tr>
    </w:tbl>
    <w:p>
      <w:pPr>
        <w:pStyle w:val="Heading3"/>
      </w:pPr>
      <w:r>
        <w:t>研究摘要</w:t>
      </w:r>
    </w:p>
    <w:p>
      <w:r>
        <w:t>本研究关注职前数学教师在设计户外数学学习活动时如何使用ChatGPT。研究认为，数学学习活动设计本身对教师具有挑战性，而户外学习活动由于涉及环境、资源和专业知识等因素，设计难度更高。人工智能可能帮助未来教师优化规划过程，使其设计出组织更清晰、与课程更一致的户外学习活动。研究采用定性个案研究设计，考察34名职前数学教师在AI支持的活动设计过程中所使用提示词的特征，包括提示词类型与内容，并分析提示词质量与AI支持活动质量之间的关系。研究使用包含环境、学习者和教育者三个维度的量规评价活动质量。结果显示，若干小组能够在AI支持设计过程中产出中等和高质量活动；</w:t>
      </w:r>
    </w:p>
    <w:p>
      <w:r>
        <w:t>二维和多维提示词与更高活动质量相关，而单次提示或多次提示的类型差异并未直接对应活动质量水平。研究据此提出，教师教育项目可纳入提示词设计能力以及批判性评价AI生成内容的训练。</w:t>
      </w:r>
    </w:p>
    <w:p>
      <w:pPr>
        <w:pStyle w:val="Heading3"/>
      </w:pPr>
      <w:r>
        <w:t>研究主要内容</w:t>
      </w:r>
    </w:p>
    <w:p>
      <w:r>
        <w:t>论文主要研究职前数学教师在户外数学学习活动设计中与ChatGPT互动的方式，重点分析其提示词的类型、内容和质量，并进一步考察这些提示词特征与最终AI支持活动质量之间的关系。研究场景属于教师教育和教育技术整合领域，主题聚焦生成式AI在职前教师教学设计能力培养中的应用。</w:t>
      </w:r>
    </w:p>
    <w:p>
      <w:pPr>
        <w:pStyle w:val="Heading3"/>
      </w:pPr>
      <w:r>
        <w:t>研究论点</w:t>
      </w:r>
    </w:p>
    <w:p>
      <w:r>
        <w:t>作者的核心论点是：ChatGPT等人工智能工具可以支持职前教师开展复杂的户外数学学习活动设计，但活动质量并不只取决于是否使用AI，而与职前教师向AI提出问题和指令的质量密切相关。尤其是能够同时涉及多个设计维度的提示词，更可能促进高质量学习活动生成。因此，教师教育需要将提示词设计能力和AI输出批判性评价能力纳入培养内容。</w:t>
      </w:r>
    </w:p>
    <w:p>
      <w:pPr>
        <w:pStyle w:val="Heading3"/>
      </w:pPr>
      <w:r>
        <w:t>研究问题</w:t>
      </w:r>
    </w:p>
    <w:p>
      <w:r>
        <w:t>研究旨在回答：职前数学教师在使用ChatGPT设计户外数学学习活动时使用了哪些类型和内容特征的提示词？这些提示词的质量与最终AI支持户外数学学习活动的质量之间存在怎样的关系？</w:t>
      </w:r>
    </w:p>
    <w:p>
      <w:pPr>
        <w:pStyle w:val="Heading3"/>
      </w:pPr>
      <w:r>
        <w:t>研究方法</w:t>
      </w:r>
    </w:p>
    <w:p>
      <w:r>
        <w:t>{'research_type': '定性研究；</w:t>
      </w:r>
    </w:p>
    <w:p>
      <w:r>
        <w:t>具体为定性个案研究设计。', 'sample_participants': '34名职前数学教师。', 'data_sources': '摘要明确提到的数据包括职前数学教师在AI支持设计过程中使用的提示词，以及由此形成的AI支持户外数学学习活动。是否收集访谈、观察、反思日志或其他材料，摘要未说明。', 'data_collection': '参与者使用ChatGPT设计户外数学学习活动；</w:t>
      </w:r>
    </w:p>
    <w:p>
      <w:r>
        <w:t>研究者收集并分析其提示词及所生成或设计的活动成果。具体实施流程、活动时长、小组构成和课程背景，摘要未说明。', 'analysis_methods': '研究分析提示词属性，包括提示词类型和内容；</w:t>
      </w:r>
    </w:p>
    <w:p>
      <w:r>
        <w:t>并使用量规评价AI支持活动质量。活动质量量规包含三个维度：环境、学习者和教育者。具体编码程序、评分者数量、信度检验或定性分析软件，摘要未说明。', 'measurement_tools': '活动质量评价量规，包含环境、学习者和教育者三个维度。提示词质量的具体评价标准，摘要未说明。'}</w:t>
      </w:r>
    </w:p>
    <w:p>
      <w:pPr>
        <w:pStyle w:val="Heading3"/>
      </w:pPr>
      <w:r>
        <w:t>主要发现</w:t>
      </w:r>
    </w:p>
    <w:p>
      <w:r>
        <w:t>['在AI支持的设计过程中，若干职前数学教师小组能够产出中等质量和高质量的户外数学学习活动，说明ChatGPT在职前教师学习活动设计中具有一定支持作用。', '二维提示词和多维提示词与更高的活动质量相关，表明提示词若能同时覆盖多个设计维度，可能更有利于生成结构完善、质量较高的学习活动。', '提示词类型中“单次提示”与“多次提示”的差异并未直接关联活动质量水平，说明提示次数本身不必然提升设计质量，关键可能在于提示词内容的结构性、维度丰富性和质量。']</w:t>
      </w:r>
    </w:p>
    <w:p>
      <w:pPr>
        <w:pStyle w:val="Heading3"/>
      </w:pPr>
      <w:r>
        <w:t>对教师教育研究的启示</w:t>
      </w:r>
    </w:p>
    <w:p>
      <w:r>
        <w:t>['教师教育项目可将生成式AI纳入教学设计训练，尤其是在复杂任务如户外数学学习活动设计中，引导职前教师学习如何借助AI进行课程对齐、环境利用和学习者支持。', '研究提示教师教育不能停留在“会使用ChatGPT”，而应培养提示词设计能力，包括如何提出多维度、目标明确、与教学情境相关的提示词。', '未来教师培训应强调对AI生成内容的批判性评价，帮助职前教师判断AI输出是否符合课程目标、学习者需要和真实教学环境。', '从研究设计角度看，该文提供了一个可借鉴的研究路径：收集职前教师与AI互动过程中的提示词文本，并结合量规评价其教学设计成果，从而分析AI交互质量与教学设计质量之间的关系。', '后续研究可进一步补充访谈、课堂观察、反思日志或学习过程数据，以解释职前教师为何使用某类提示词，以及他们如何理解和修正AI生成结果；</w:t>
      </w:r>
    </w:p>
    <w:p>
      <w:r>
        <w:t>这些信息在摘要中尚未说明。']</w:t>
      </w:r>
    </w:p>
    <w:p>
      <w:pPr>
        <w:pStyle w:val="Heading3"/>
      </w:pPr>
      <w:r>
        <w:t>APA引用格式</w:t>
      </w:r>
    </w:p>
    <w:p>
      <w:r>
        <w:t>Aydoğdu, M. Z., &amp; GİRİT YILDIZ, D. (2026). Pre-service mathematics teachers’ interaction with ChatGPT during the design of outdoor mathematics learning activities: Prompt types and activity quality. International Journal of Science and Mathematics Education. https://doi.org/10.1007/s10763-026-10699-3</w:t>
      </w:r>
    </w:p>
    <w:p>
      <w:r>
        <w:br w:type="page"/>
      </w:r>
    </w:p>
    <w:p>
      <w:pPr>
        <w:pStyle w:val="Heading2"/>
      </w:pPr>
      <w:r>
        <w:t>3. What it means to learn with GenAI: Theorising student teachers’ perspectives on learning with GenAI through Q methodology research / 与生成式人工智能共同学习意味着什么：基于Q方法研究的师范生生成式人工智能学习观理论化分析</w:t>
      </w:r>
    </w:p>
    <w:tbl>
      <w:tblPr>
        <w:tblStyle w:val="LightList-Accent1"/>
        <w:tblW w:type="auto" w:w="0"/>
        <w:tblLook w:firstColumn="1" w:firstRow="1" w:lastColumn="0" w:lastRow="0" w:noHBand="0" w:noVBand="1" w:val="04A0"/>
      </w:tblPr>
      <w:tblGrid>
        <w:gridCol w:w="4997"/>
        <w:gridCol w:w="4997"/>
      </w:tblGrid>
      <w:tr>
        <w:tc>
          <w:tcPr>
            <w:tcW w:type="dxa" w:w="4997"/>
          </w:tcPr>
          <w:p>
            <w:r>
              <w:rPr>
                <w:b/>
              </w:rPr>
              <w:t>标题</w:t>
            </w:r>
          </w:p>
        </w:tc>
        <w:tc>
          <w:tcPr>
            <w:tcW w:type="dxa" w:w="4997"/>
          </w:tcPr>
          <w:p>
            <w:r>
              <w:t>What it means to learn with GenAI: Theorising student teachers’ perspectives on learning with GenAI through Q methodology research / 与生成式人工智能共同学习意味着什么：基于Q方法研究的师范生生成式人工智能学习观理论化分析</w:t>
            </w:r>
          </w:p>
        </w:tc>
      </w:tr>
      <w:tr>
        <w:tc>
          <w:tcPr>
            <w:tcW w:type="dxa" w:w="4997"/>
          </w:tcPr>
          <w:p>
            <w:r>
              <w:rPr>
                <w:b/>
              </w:rPr>
              <w:t>作者</w:t>
            </w:r>
          </w:p>
        </w:tc>
        <w:tc>
          <w:tcPr>
            <w:tcW w:type="dxa" w:w="4997"/>
          </w:tcPr>
          <w:p>
            <w:r>
              <w:t>Youmen Chaaban, Soon-Gyo Jung, Bernard J. Jansen</w:t>
            </w:r>
          </w:p>
        </w:tc>
      </w:tr>
      <w:tr>
        <w:tc>
          <w:tcPr>
            <w:tcW w:type="dxa" w:w="4997"/>
          </w:tcPr>
          <w:p>
            <w:r>
              <w:rPr>
                <w:b/>
              </w:rPr>
              <w:t>期刊及影响因子</w:t>
            </w:r>
          </w:p>
        </w:tc>
        <w:tc>
          <w:tcPr>
            <w:tcW w:type="dxa" w:w="4997"/>
          </w:tcPr>
          <w:p>
            <w:r>
              <w:t>期刊：European Journal of Teacher Education；SSCI分类：Education &amp; Educational Research；影响因子/分区：白名单未提供影响因子 / 白名单未提供JCR分区</w:t>
            </w:r>
          </w:p>
        </w:tc>
      </w:tr>
      <w:tr>
        <w:tc>
          <w:tcPr>
            <w:tcW w:type="dxa" w:w="4997"/>
          </w:tcPr>
          <w:p>
            <w:r>
              <w:rPr>
                <w:b/>
              </w:rPr>
              <w:t>卷期/DOI</w:t>
            </w:r>
          </w:p>
        </w:tc>
        <w:tc>
          <w:tcPr>
            <w:tcW w:type="dxa" w:w="4997"/>
          </w:tcPr>
          <w:p>
            <w:r>
              <w:t>卷期：摘要未说明；DOI：https://doi.org/10.1080/02619768.2026.2692989</w:t>
            </w:r>
          </w:p>
        </w:tc>
      </w:tr>
      <w:tr>
        <w:tc>
          <w:tcPr>
            <w:tcW w:type="dxa" w:w="4997"/>
          </w:tcPr>
          <w:p>
            <w:r>
              <w:rPr>
                <w:b/>
              </w:rPr>
              <w:t>在线发表时间</w:t>
            </w:r>
          </w:p>
        </w:tc>
        <w:tc>
          <w:tcPr>
            <w:tcW w:type="dxa" w:w="4997"/>
          </w:tcPr>
          <w:p>
            <w:r>
              <w:t>2026-06-25</w:t>
            </w:r>
          </w:p>
        </w:tc>
      </w:tr>
      <w:tr>
        <w:tc>
          <w:tcPr>
            <w:tcW w:type="dxa" w:w="4997"/>
          </w:tcPr>
          <w:p>
            <w:r>
              <w:rPr>
                <w:b/>
              </w:rPr>
              <w:t>SSCI分类</w:t>
            </w:r>
          </w:p>
        </w:tc>
        <w:tc>
          <w:tcPr>
            <w:tcW w:type="dxa" w:w="4997"/>
          </w:tcPr>
          <w:p>
            <w:r>
              <w:t>Education &amp; Educational Research；English</w:t>
            </w:r>
          </w:p>
        </w:tc>
      </w:tr>
      <w:tr>
        <w:tc>
          <w:tcPr>
            <w:tcW w:type="dxa" w:w="4997"/>
          </w:tcPr>
          <w:p>
            <w:r>
              <w:rPr>
                <w:b/>
              </w:rPr>
              <w:t>论文链接</w:t>
            </w:r>
          </w:p>
        </w:tc>
        <w:tc>
          <w:tcPr>
            <w:tcW w:type="dxa" w:w="4997"/>
          </w:tcPr>
          <w:p>
            <w:hyperlink r:id="rId11">
              <w:r>
                <w:rPr>
                  <w:color w:val="0563C1"/>
                  <w:u w:val="single"/>
                </w:rPr>
                <w:t>https://doi.org/10.1080/02619768.2026.2692989</w:t>
              </w:r>
            </w:hyperlink>
          </w:p>
        </w:tc>
      </w:tr>
    </w:tbl>
    <w:p>
      <w:pPr>
        <w:pStyle w:val="Heading3"/>
      </w:pPr>
      <w:r>
        <w:t>研究摘要</w:t>
      </w:r>
    </w:p>
    <w:p>
      <w:r>
        <w:t>本研究采用Q方法探讨师范生如何概念化与生成式人工智能共同学习，以及这些观点如何与既有教育框架相一致或形成挑战。31名师范生对44条源自当代学习理论的陈述进行排序。因子分析揭示出三种不同观点：第一类将生成式人工智能视为协作伙伴；</w:t>
      </w:r>
    </w:p>
    <w:p>
      <w:r>
        <w:t>第二类对生成式人工智能持审慎或怀疑态度，认为其会持续存在但传统方法仍有价值；</w:t>
      </w:r>
    </w:p>
    <w:p>
      <w:r>
        <w:t>第三类主要将其作为提升实践效率的工具。每一类观点都对应不同的教学取向，但总体上表明，生成式人工智能出现之前的学习理论不足以解释学生与具有能动性的智能系统之间不断变化的互动关系，因此需要理论更新，而不是对既有理论的简单套用或采纳。</w:t>
      </w:r>
    </w:p>
    <w:p>
      <w:pPr>
        <w:pStyle w:val="Heading3"/>
      </w:pPr>
      <w:r>
        <w:t>研究主要内容</w:t>
      </w:r>
    </w:p>
    <w:p>
      <w:r>
        <w:t>论文聚焦师范生对“与GenAI共同学习”的主观理解，试图从学习理论角度解释生成式人工智能进入学习过程后，学习者与智能系统之间关系的变化。研究通过Q方法识别师范生群体内部的不同观点类型，并据此讨论传统学习框架在解释GenAI参与学习时的局限。</w:t>
      </w:r>
    </w:p>
    <w:p>
      <w:pPr>
        <w:pStyle w:val="Heading3"/>
      </w:pPr>
      <w:r>
        <w:t>研究论点</w:t>
      </w:r>
    </w:p>
    <w:p>
      <w:r>
        <w:t>文章的核心论点是：师范生并非以单一方式理解或使用GenAI，而是形成了协作伙伴、审慎保留、效率工具等不同取向；</w:t>
      </w:r>
    </w:p>
    <w:p>
      <w:r>
        <w:t>这些差异说明传统的、生成式人工智能出现之前的学习理论难以充分解释学习者与具有一定能动性的AI系统之间的新型互动，因此教师教育和教育理论需要重新配置学习框架。</w:t>
      </w:r>
    </w:p>
    <w:p>
      <w:pPr>
        <w:pStyle w:val="Heading3"/>
      </w:pPr>
      <w:r>
        <w:t>研究问题</w:t>
      </w:r>
    </w:p>
    <w:p>
      <w:r>
        <w:t>摘要显示的研究问题包括：1. 师范生如何概念化与生成式人工智能共同学习？2. 这些观点如何与既有教育框架相一致，或对既有教育框架构成挑战？具体研究假设摘要未说明。</w:t>
      </w:r>
    </w:p>
    <w:p>
      <w:pPr>
        <w:pStyle w:val="Heading3"/>
      </w:pPr>
      <w:r>
        <w:t>研究方法</w:t>
      </w:r>
    </w:p>
    <w:p>
      <w:r>
        <w:t>{'research_type': '混合取向的Q方法研究。Q方法通常结合参与者主观排序与因子分析，但摘要未明确标注为定量、定性或混合研究。', 'sample_participants': '31名师范生。其所在国家、学校类型、专业、年级、性别等背景信息摘要未说明。', 'data_sources': '参与者对44条陈述的Q排序数据；</w:t>
      </w:r>
    </w:p>
    <w:p>
      <w:r>
        <w:t>这些陈述源自当代学习理论。是否包含访谈、开放式解释或其他补充资料，摘要未说明。', 'data_collection': '31名师范生对44条关于学习理论的陈述进行排序。具体排序程序、量表分布、实施场景和时间摘要未说明。', 'analysis_methods': '使用因子分析识别不同观点类型。具体因子提取方法、旋转方法、因子保留标准和解释流程摘要未说明。'}</w:t>
      </w:r>
    </w:p>
    <w:p>
      <w:pPr>
        <w:pStyle w:val="Heading3"/>
      </w:pPr>
      <w:r>
        <w:t>主要发现</w:t>
      </w:r>
    </w:p>
    <w:p>
      <w:r>
        <w:t>['研究识别出三种师范生关于GenAI学习的观点类型：将GenAI视为协作伙伴的“GenAI is my sidekick”，对GenAI持怀疑但承认其持续存在的“GenAI is here to stay … but old is gold”，以及将GenAI主要作为效率捷径的“GenAI is my shortcut to efficiency”。', '三类观点分别对应不同的教学取向，说明师范生对GenAI的理解不仅是技术使用偏好，也关联其关于学习、教学和知识建构的教育观。', '研究认为，三类观点共同指向一个理论问题：生成式人工智能出现前的学习理论不足以解释学生与具有能动性的AI系统之间不断变化的互动关系，因此需要对传统学习框架进行重新配置。']</w:t>
      </w:r>
    </w:p>
    <w:p>
      <w:pPr>
        <w:pStyle w:val="Heading3"/>
      </w:pPr>
      <w:r>
        <w:t>对教师教育研究的启示</w:t>
      </w:r>
    </w:p>
    <w:p>
      <w:r>
        <w:t>['教师教育研究可将师范生的AI学习观作为重要研究对象，不仅考察其是否使用GenAI，还应分析其将GenAI理解为协作伙伴、效率工具或需要审慎对待的对象。', '在研究设计上，该文展示了Q方法用于识别教师或师范生主观观点类型的价值，适合研究AI整合背景下教师信念、学习观、技术态度和教学取向的差异。', '在数据收集与分析方面，研究使用理论来源陈述的Q排序并结合因子分析，提示后续教师教育研究可以将学习理论、AI素养框架或教师专业标准转化为可排序陈述，以揭示不同教师群体的观点结构。', '对教师培训而言，研究提示不能只培训GenAI工具操作，还需要引导师范生反思AI参与学习后教师角色、学习者能动性、协作学习和知识生成方式的变化。']</w:t>
      </w:r>
    </w:p>
    <w:p>
      <w:pPr>
        <w:pStyle w:val="Heading3"/>
      </w:pPr>
      <w:r>
        <w:t>APA引用格式</w:t>
      </w:r>
    </w:p>
    <w:p>
      <w:r>
        <w:t>Chaaban, Y., Jung, S.-G., &amp; Jansen, B. J. (2026). What it means to learn with GenAI: Theorising student teachers’ perspectives on learning with GenAI through Q methodology research. European Journal of Teacher Education. https://doi.org/10.1080/02619768.2026.2692989</w:t>
      </w:r>
    </w:p>
    <w:p>
      <w:r>
        <w:br w:type="page"/>
      </w:r>
    </w:p>
    <w:p>
      <w:pPr>
        <w:pStyle w:val="Heading2"/>
      </w:pPr>
      <w:r>
        <w:t>4. Volunteering motivation and sustainable development awareness as predictors of preservice teachers’ personal social responsibility / 志愿服务动机与可持续发展意识对职前教师个人社会责任的预测作用</w:t>
      </w:r>
    </w:p>
    <w:tbl>
      <w:tblPr>
        <w:tblStyle w:val="LightList-Accent1"/>
        <w:tblW w:type="auto" w:w="0"/>
        <w:tblLook w:firstColumn="1" w:firstRow="1" w:lastColumn="0" w:lastRow="0" w:noHBand="0" w:noVBand="1" w:val="04A0"/>
      </w:tblPr>
      <w:tblGrid>
        <w:gridCol w:w="4997"/>
        <w:gridCol w:w="4997"/>
      </w:tblGrid>
      <w:tr>
        <w:tc>
          <w:tcPr>
            <w:tcW w:type="dxa" w:w="4997"/>
          </w:tcPr>
          <w:p>
            <w:r>
              <w:rPr>
                <w:b/>
              </w:rPr>
              <w:t>标题</w:t>
            </w:r>
          </w:p>
        </w:tc>
        <w:tc>
          <w:tcPr>
            <w:tcW w:type="dxa" w:w="4997"/>
          </w:tcPr>
          <w:p>
            <w:r>
              <w:t>Volunteering motivation and sustainable development awareness as predictors of preservice teachers’ personal social responsibility / 志愿服务动机与可持续发展意识对职前教师个人社会责任的预测作用</w:t>
            </w:r>
          </w:p>
        </w:tc>
      </w:tr>
      <w:tr>
        <w:tc>
          <w:tcPr>
            <w:tcW w:type="dxa" w:w="4997"/>
          </w:tcPr>
          <w:p>
            <w:r>
              <w:rPr>
                <w:b/>
              </w:rPr>
              <w:t>作者</w:t>
            </w:r>
          </w:p>
        </w:tc>
        <w:tc>
          <w:tcPr>
            <w:tcW w:type="dxa" w:w="4997"/>
          </w:tcPr>
          <w:p>
            <w:r>
              <w:t>Duygu GUR-ERDOGAN, Gulden Kaya-Uyanik, Özlem Canan Güngören</w:t>
            </w:r>
          </w:p>
        </w:tc>
      </w:tr>
      <w:tr>
        <w:tc>
          <w:tcPr>
            <w:tcW w:type="dxa" w:w="4997"/>
          </w:tcPr>
          <w:p>
            <w:r>
              <w:rPr>
                <w:b/>
              </w:rPr>
              <w:t>期刊及影响因子</w:t>
            </w:r>
          </w:p>
        </w:tc>
        <w:tc>
          <w:tcPr>
            <w:tcW w:type="dxa" w:w="4997"/>
          </w:tcPr>
          <w:p>
            <w:r>
              <w:t>期刊：Frontiers in Psychology；SSCI分类：English, Multidisciplinary, Psychology；影响因子/分区：白名单未提供影响因子 / 白名单未提供JCR分区</w:t>
            </w:r>
          </w:p>
        </w:tc>
      </w:tr>
      <w:tr>
        <w:tc>
          <w:tcPr>
            <w:tcW w:type="dxa" w:w="4997"/>
          </w:tcPr>
          <w:p>
            <w:r>
              <w:rPr>
                <w:b/>
              </w:rPr>
              <w:t>卷期/DOI</w:t>
            </w:r>
          </w:p>
        </w:tc>
        <w:tc>
          <w:tcPr>
            <w:tcW w:type="dxa" w:w="4997"/>
          </w:tcPr>
          <w:p>
            <w:r>
              <w:t>卷期：摘要未说明；DOI：https://doi.org/10.3389/fpsyg.2026.1817410</w:t>
            </w:r>
          </w:p>
        </w:tc>
      </w:tr>
      <w:tr>
        <w:tc>
          <w:tcPr>
            <w:tcW w:type="dxa" w:w="4997"/>
          </w:tcPr>
          <w:p>
            <w:r>
              <w:rPr>
                <w:b/>
              </w:rPr>
              <w:t>在线发表时间</w:t>
            </w:r>
          </w:p>
        </w:tc>
        <w:tc>
          <w:tcPr>
            <w:tcW w:type="dxa" w:w="4997"/>
          </w:tcPr>
          <w:p>
            <w:r>
              <w:t>2026-06-24</w:t>
            </w:r>
          </w:p>
        </w:tc>
      </w:tr>
      <w:tr>
        <w:tc>
          <w:tcPr>
            <w:tcW w:type="dxa" w:w="4997"/>
          </w:tcPr>
          <w:p>
            <w:r>
              <w:rPr>
                <w:b/>
              </w:rPr>
              <w:t>SSCI分类</w:t>
            </w:r>
          </w:p>
        </w:tc>
        <w:tc>
          <w:tcPr>
            <w:tcW w:type="dxa" w:w="4997"/>
          </w:tcPr>
          <w:p>
            <w:r>
              <w:t>English；Multidisciplinary；Psychology</w:t>
            </w:r>
          </w:p>
        </w:tc>
      </w:tr>
      <w:tr>
        <w:tc>
          <w:tcPr>
            <w:tcW w:type="dxa" w:w="4997"/>
          </w:tcPr>
          <w:p>
            <w:r>
              <w:rPr>
                <w:b/>
              </w:rPr>
              <w:t>论文链接</w:t>
            </w:r>
          </w:p>
        </w:tc>
        <w:tc>
          <w:tcPr>
            <w:tcW w:type="dxa" w:w="4997"/>
          </w:tcPr>
          <w:p>
            <w:hyperlink r:id="rId12">
              <w:r>
                <w:rPr>
                  <w:color w:val="0563C1"/>
                  <w:u w:val="single"/>
                </w:rPr>
                <w:t>https://doi.org/10.3389/fpsyg.2026.1817410</w:t>
              </w:r>
            </w:hyperlink>
          </w:p>
        </w:tc>
      </w:tr>
    </w:tbl>
    <w:p>
      <w:pPr>
        <w:pStyle w:val="Heading3"/>
      </w:pPr>
      <w:r>
        <w:t>研究摘要</w:t>
      </w:r>
    </w:p>
    <w:p>
      <w:r>
        <w:t>本研究关注教师教育中的个人社会责任，认为其反映个体的伦理意识、公民参与以及对社会和可持续发展的承诺。研究考察职前教师的志愿服务动机与可持续发展意识能否预测其个人社会责任。志愿服务动机被区分为“作为承诺的志愿服务”和“作为责任/义务的志愿服务”。研究采用横断面相关研究设计，调查了960名来自不同教师教育项目的职前教师，使用经验证的自陈量表收集个人社会责任、志愿服务动机和可持续发展意识数据，并通过Pearson相关分析和层级多元回归分析检验变量关系。结果显示，作为承诺的志愿服务和可持续发展意识正向预测个人社会责任，而作为责任/义务的志愿服务负向预测个人社会责任。最终回归模型解释了个人社会责任30.8%的方差，其中作为承诺的志愿服务是最强预测变量。</w:t>
      </w:r>
    </w:p>
    <w:p>
      <w:pPr>
        <w:pStyle w:val="Heading3"/>
      </w:pPr>
      <w:r>
        <w:t>研究主要内容</w:t>
      </w:r>
    </w:p>
    <w:p>
      <w:r>
        <w:t>论文核心内容是探讨教师教育情境下，职前教师的不同类型志愿服务动机和可持续发展意识如何与个人社会责任相关。研究将志愿服务动机区分为内在承诺取向与外在义务取向，并比较二者对个人社会责任的不同预测作用，同时纳入可持续发展意识作为重要预测变量。</w:t>
      </w:r>
    </w:p>
    <w:p>
      <w:pPr>
        <w:pStyle w:val="Heading3"/>
      </w:pPr>
      <w:r>
        <w:t>研究论点</w:t>
      </w:r>
    </w:p>
    <w:p>
      <w:r>
        <w:t>研究论证的重点在于：个人社会责任是教师教育中值得培养的重要品质；</w:t>
      </w:r>
    </w:p>
    <w:p>
      <w:r>
        <w:t>职前教师是否具备较高社会责任感，不仅与其是否参与或认同志愿服务有关，更与其志愿服务动机的性质有关。内在承诺型志愿服务动机和可持续发展意识可能促进更强的责任取向，而基于外在义务或责任压力的志愿服务动机可能与较低的个人社会责任相关。</w:t>
      </w:r>
    </w:p>
    <w:p>
      <w:pPr>
        <w:pStyle w:val="Heading3"/>
      </w:pPr>
      <w:r>
        <w:t>研究问题</w:t>
      </w:r>
    </w:p>
    <w:p>
      <w:r>
        <w:t>职前教师的志愿服务动机，包括作为承诺的志愿服务和作为责任/义务的志愿服务，以及可持续发展意识，是否能够预测其个人社会责任？不同预测变量的方向和相对强度如何？</w:t>
      </w:r>
    </w:p>
    <w:p>
      <w:pPr>
        <w:pStyle w:val="Heading3"/>
      </w:pPr>
      <w:r>
        <w:t>研究方法</w:t>
      </w:r>
    </w:p>
    <w:p>
      <w:r>
        <w:t>{'research_type': '定量研究；</w:t>
      </w:r>
    </w:p>
    <w:p>
      <w:r>
        <w:t>横断面相关研究设计。', 'sample_or_participants': '960名职前教师，来自不同教师教育项目。具体国家、院校类型、年级、性别比例等样本细节摘要未说明。', 'data_sources': '使用经验证的自陈量表收集数据，测量个人社会责任、志愿服务动机和可持续发展意识。', 'data_collection_methods': '问卷量表调查；</w:t>
      </w:r>
    </w:p>
    <w:p>
      <w:r>
        <w:t>具体施测方式、时间、伦理审批或知情同意程序摘要未说明。', 'analysis_methods': '采用Pearson相关分析考察变量之间的相关关系；</w:t>
      </w:r>
    </w:p>
    <w:p>
      <w:r>
        <w:t>采用层级多元回归分析检验志愿服务动机和可持续发展意识对个人社会责任的预测作用。', 'missing_information': '摘要未说明量表名称、题项数量、信度效度指标、抽样方法、数据收集场景、控制变量设置及层级回归的具体模型进入顺序。'}</w:t>
      </w:r>
    </w:p>
    <w:p>
      <w:pPr>
        <w:pStyle w:val="Heading3"/>
      </w:pPr>
      <w:r>
        <w:t>主要发现</w:t>
      </w:r>
    </w:p>
    <w:p>
      <w:r>
        <w:t>['作为承诺的志愿服务正向预测职前教师个人社会责任，说明内在承诺取向的志愿服务动机与更强的社会责任倾向相关。', '可持续发展意识正向预测个人社会责任，表明职前教师对可持续发展议题的认知和意识越强，其个人社会责任水平可能越高。', '作为责任/义务的志愿服务负向预测个人社会责任，说明由外部义务或责任压力驱动的志愿服务动机可能与较低的个人社会责任相关。', '最终层级回归模型解释了个人社会责任30.8%的方差，R² = 0.308，p &lt; 0.001；</w:t>
      </w:r>
    </w:p>
    <w:p>
      <w:r>
        <w:t>其中作为承诺的志愿服务是最强预测变量。']</w:t>
      </w:r>
    </w:p>
    <w:p>
      <w:pPr>
        <w:pStyle w:val="Heading3"/>
      </w:pPr>
      <w:r>
        <w:t>对教师教育研究的启示</w:t>
      </w:r>
    </w:p>
    <w:p>
      <w:r>
        <w:t>['教师教育研究可将个人社会责任作为职前教师培养的重要结果变量，并进一步考察其与可持续发展教育、公民参与和伦理意识之间的关系。', '在研究设计上，该文提供了一个可借鉴的量化路径：使用横断面问卷、经验证量表、相关分析和层级多元回归，检验多个心理与价值取向变量对教师发展结果的预测作用。', '研究提示教师教育项目在设计志愿服务、服务学习或社会参与课程时，应关注志愿服务动机的质量，而不只是参与频率或完成任务情况。培养内在承诺和社会意义感，可能比强调义务性要求更有助于社会责任发展。', '对于教育数字化和AI背景下的教师教育研究，本研究虽未直接涉及AI或数字素养，但其方法可迁移到相关主题，例如考察职前教师AI伦理意识、数字公民意识、可持续发展意识与教师社会责任之间的关系。', '后续研究可在该类横断面相关研究基础上扩展为纵向研究、干预研究或混合研究，以检验教师教育课程、AI伦理培训、可持续发展教育模块对职前教师责任意识和专业角色认同的影响。']</w:t>
      </w:r>
    </w:p>
    <w:p>
      <w:pPr>
        <w:pStyle w:val="Heading3"/>
      </w:pPr>
      <w:r>
        <w:t>APA引用格式</w:t>
      </w:r>
    </w:p>
    <w:p>
      <w:r>
        <w:t>GUR-ERDOGAN, D., Kaya-Uyanik, G., &amp; Güngören, Ö. C. (2026). Volunteering motivation and sustainable development awareness as predictors of preservice teachers’ personal social responsibility. Frontiers in Psychology. https://doi.org/10.3389/fpsyg.2026.1817410</w:t>
      </w:r>
    </w:p>
    <w:p>
      <w:pPr>
        <w:pStyle w:val="Heading1"/>
      </w:pPr>
      <w:r>
        <w:t>运行统计</w:t>
      </w:r>
    </w:p>
    <w:tbl>
      <w:tblPr>
        <w:tblStyle w:val="LightShading-Accent1"/>
        <w:tblW w:type="auto" w:w="0"/>
        <w:tblLook w:firstColumn="1" w:firstRow="1" w:lastColumn="0" w:lastRow="0" w:noHBand="0" w:noVBand="1" w:val="04A0"/>
      </w:tblPr>
      <w:tblGrid>
        <w:gridCol w:w="4997"/>
        <w:gridCol w:w="4997"/>
      </w:tblGrid>
      <w:tr>
        <w:tc>
          <w:tcPr>
            <w:tcW w:type="dxa" w:w="4997"/>
          </w:tcPr>
          <w:p>
            <w:r>
              <w:rPr>
                <w:b/>
              </w:rPr>
              <w:t>检索数量</w:t>
            </w:r>
          </w:p>
        </w:tc>
        <w:tc>
          <w:tcPr>
            <w:tcW w:type="dxa" w:w="4997"/>
          </w:tcPr>
          <w:p>
            <w:r>
              <w:t>400</w:t>
            </w:r>
          </w:p>
        </w:tc>
      </w:tr>
      <w:tr>
        <w:tc>
          <w:tcPr>
            <w:tcW w:type="dxa" w:w="4997"/>
          </w:tcPr>
          <w:p>
            <w:r>
              <w:rPr>
                <w:b/>
              </w:rPr>
              <w:t>筛选数量</w:t>
            </w:r>
          </w:p>
        </w:tc>
        <w:tc>
          <w:tcPr>
            <w:tcW w:type="dxa" w:w="4997"/>
          </w:tcPr>
          <w:p>
            <w:r>
              <w:t>4</w:t>
            </w:r>
          </w:p>
        </w:tc>
      </w:tr>
      <w:tr>
        <w:tc>
          <w:tcPr>
            <w:tcW w:type="dxa" w:w="4997"/>
          </w:tcPr>
          <w:p>
            <w:r>
              <w:rPr>
                <w:b/>
              </w:rPr>
              <w:t>AI成功数量</w:t>
            </w:r>
          </w:p>
        </w:tc>
        <w:tc>
          <w:tcPr>
            <w:tcW w:type="dxa" w:w="4997"/>
          </w:tcPr>
          <w:p>
            <w:r>
              <w:t>4</w:t>
            </w:r>
          </w:p>
        </w:tc>
      </w:tr>
      <w:tr>
        <w:tc>
          <w:tcPr>
            <w:tcW w:type="dxa" w:w="4997"/>
          </w:tcPr>
          <w:p>
            <w:r>
              <w:rPr>
                <w:b/>
              </w:rPr>
              <w:t>失败数量</w:t>
            </w:r>
          </w:p>
        </w:tc>
        <w:tc>
          <w:tcPr>
            <w:tcW w:type="dxa" w:w="4997"/>
          </w:tcPr>
          <w:p>
            <w:r>
              <w:t>0</w:t>
            </w:r>
          </w:p>
        </w:tc>
      </w:tr>
      <w:tr>
        <w:tc>
          <w:tcPr>
            <w:tcW w:type="dxa" w:w="4997"/>
          </w:tcPr>
          <w:p>
            <w:r>
              <w:rPr>
                <w:b/>
              </w:rPr>
              <w:t>API耗时</w:t>
            </w:r>
          </w:p>
        </w:tc>
        <w:tc>
          <w:tcPr>
            <w:tcW w:type="dxa" w:w="4997"/>
          </w:tcPr>
          <w:p>
            <w:r>
              <w:t>204.89 秒</w:t>
            </w:r>
          </w:p>
        </w:tc>
      </w:tr>
    </w:tbl>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F5496"/>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2F5D9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27497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F5496"/>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07/s10639-026-14062-5" TargetMode="External"/><Relationship Id="rId10" Type="http://schemas.openxmlformats.org/officeDocument/2006/relationships/hyperlink" Target="https://doi.org/10.1007/s10763-026-10699-3" TargetMode="External"/><Relationship Id="rId11" Type="http://schemas.openxmlformats.org/officeDocument/2006/relationships/hyperlink" Target="https://doi.org/10.1080/02619768.2026.2692989" TargetMode="External"/><Relationship Id="rId12" Type="http://schemas.openxmlformats.org/officeDocument/2006/relationships/hyperlink" Target="https://doi.org/10.3389/fpsyg.2026.18174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