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2026-07-10 09:49:04（北京时间）</w:t>
            </w:r>
          </w:p>
        </w:tc>
      </w:tr>
      <w:tr>
        <w:tc>
          <w:tcPr>
            <w:tcW w:type="dxa" w:w="4997"/>
          </w:tcPr>
          <w:p>
            <w:r>
              <w:rPr>
                <w:b/>
              </w:rPr>
              <w:t>检索窗口</w:t>
            </w:r>
          </w:p>
        </w:tc>
        <w:tc>
          <w:tcPr>
            <w:tcW w:type="dxa" w:w="4997"/>
          </w:tcPr>
          <w:p>
            <w:r>
              <w:t>2023-07-11 — 2026-07-10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技术赋能教育的教师准备与学习者差异，涵盖VR、生成式AI等工具。研究多采用定性或混合方法，关注使用中的策略性决策与生态适应。创新趋势：贴近中国语境的GenAI学科应用风险与策略、计算思维差异对AI助手使用的影响。</w:t>
      </w:r>
    </w:p>
    <w:p>
      <w:pPr>
        <w:pStyle w:val="Heading1"/>
      </w:pPr>
      <w:r>
        <w:t>目录</w:t>
      </w:r>
    </w:p>
    <w:p>
      <w:pPr>
        <w:pStyle w:val="ListNumber"/>
      </w:pPr>
      <w:r>
        <w:rPr>
          <w:b/>
        </w:rPr>
        <w:t>通过虚拟现实应用程序策划博物馆中的灵活学习空间</w:t>
      </w:r>
      <w:r>
        <w:t>｜Education and Information Technologies｜2026-07-08</w:t>
      </w:r>
    </w:p>
    <w:p>
      <w:pPr>
        <w:pStyle w:val="ListNumber"/>
      </w:pPr>
      <w:r>
        <w:rPr>
          <w:b/>
        </w:rPr>
        <w:t>生成式人工智能辅助的TESOL教师教育数字多模态写作研究</w:t>
      </w:r>
      <w:r>
        <w:t>｜TESOL Quarterly｜2026-07-08</w:t>
      </w:r>
    </w:p>
    <w:p>
      <w:pPr>
        <w:pStyle w:val="ListNumber"/>
      </w:pPr>
      <w:r>
        <w:rPr>
          <w:b/>
        </w:rPr>
        <w:t>生成式人工智能在中小学音乐课堂中教学-学习-评价一体化的应用：内在逻辑、风险与策略</w:t>
      </w:r>
      <w:r>
        <w:t>｜IRA International Journal of Education and Multidisciplinary Studies｜2026-07-09</w:t>
      </w:r>
    </w:p>
    <w:p>
      <w:pPr>
        <w:pStyle w:val="ListNumber"/>
      </w:pPr>
      <w:r>
        <w:rPr>
          <w:b/>
        </w:rPr>
        <w:t>探究使用人工智能编码助手时计算思维水平对学生的学习表现、认知和行为的影响</w:t>
      </w:r>
      <w:r>
        <w:t>｜Educational Technology Research and Development｜2026-07-08</w:t>
      </w:r>
    </w:p>
    <w:p>
      <w:pPr>
        <w:pStyle w:val="ListNumber"/>
      </w:pPr>
      <w:r>
        <w:rPr>
          <w:b/>
        </w:rPr>
        <w:t>在约束中释放潜能：加纳数学教师教育中元教学实践的实践学-生态学分析</w:t>
      </w:r>
      <w:r>
        <w:t>｜Journal of Mathematics Teacher Education｜2026-07-08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Curating flexible learning spaces in museums with a virtual reality application / 通过虚拟现实应用程序策划博物馆中的灵活学习空间</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Curating flexible learning spaces in museums with a virtual reality application / 通过虚拟现实应用程序策划博物馆中的灵活学习空间</w:t>
            </w:r>
          </w:p>
        </w:tc>
      </w:tr>
      <w:tr>
        <w:tc>
          <w:tcPr>
            <w:tcW w:type="dxa" w:w="4997"/>
          </w:tcPr>
          <w:p>
            <w:r>
              <w:rPr>
                <w:b/>
              </w:rPr>
              <w:t>作者</w:t>
            </w:r>
          </w:p>
        </w:tc>
        <w:tc>
          <w:tcPr>
            <w:tcW w:type="dxa" w:w="4997"/>
          </w:tcPr>
          <w:p>
            <w:r>
              <w:t>Gizéh Rangel‐de Lázaro, Josep M. Duart, Delsa Silva Amino Cufuna</w:t>
            </w:r>
          </w:p>
        </w:tc>
      </w:tr>
      <w:tr>
        <w:tc>
          <w:tcPr>
            <w:tcW w:type="dxa" w:w="4997"/>
          </w:tcPr>
          <w:p>
            <w:r>
              <w:rPr>
                <w:b/>
              </w:rPr>
              <w:t>期刊及影响因子</w:t>
            </w:r>
          </w:p>
        </w:tc>
        <w:tc>
          <w:tcPr>
            <w:tcW w:type="dxa" w:w="4997"/>
          </w:tcPr>
          <w:p>
            <w:r>
              <w:t>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1573-7608</w:t>
            </w:r>
          </w:p>
        </w:tc>
      </w:tr>
      <w:tr>
        <w:tc>
          <w:tcPr>
            <w:tcW w:type="dxa" w:w="4997"/>
          </w:tcPr>
          <w:p>
            <w:r>
              <w:rPr>
                <w:b/>
              </w:rPr>
              <w:t>卷期/DOI</w:t>
            </w:r>
          </w:p>
        </w:tc>
        <w:tc>
          <w:tcPr>
            <w:tcW w:type="dxa" w:w="4997"/>
          </w:tcPr>
          <w:p>
            <w:r>
              <w:t>DOI: https://doi.org/10.1007/s10639-026-14083-0</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https://doi.org/10.1007/s10639-026-14083-0</w:t>
              </w:r>
            </w:hyperlink>
          </w:p>
        </w:tc>
      </w:tr>
    </w:tbl>
    <w:p>
      <w:pPr>
        <w:pStyle w:val="Heading3"/>
      </w:pPr>
      <w:r>
        <w:t>研究摘要</w:t>
      </w:r>
    </w:p>
    <w:p>
      <w:r>
        <w:t>本研究以现象学方法论为基础，借鉴Lefebvre（1991）的空间三元组理论，探讨职前教师如何使用虚拟现实（VR）概念化和体验博物馆灵活学习空间的设计。研究考察了沉浸式数字环境如何促进空间素养、教学创造力和专业身份认同。参与者为小学教育项目的学生，他们参与了基于VR的四阶段活动，使用Oculus Rift头显设计模块化博物馆学习环境。活动前后反思的数据显示，VR将抽象的教育理论转化为实际的设计决策，并激发了对学习环境的情感联系。研究结果表明，沉浸式环境支持具身认知，并作为教师教育的催化剂工具。参与者报告了在设计包容性和适应性学习环境方面信心的提升，以及对将沉浸式工具融入教育实践的热情。通过在虚拟环境中操作Lefebvre的空间理论，本研究提供了一个分析教育空间如何在数字博物馆中被生产和体验的新框架。研究论证了VR作为教学媒介和职业想象空间的价值，强调了其重塑未来教育工作者策划、体验和教授博物馆学习环境的潜力。</w:t>
      </w:r>
    </w:p>
    <w:p>
      <w:pPr>
        <w:pStyle w:val="Heading3"/>
      </w:pPr>
      <w:r>
        <w:t>研究主要内容</w:t>
      </w:r>
    </w:p>
    <w:p>
      <w:r>
        <w:t>本研究聚焦于职前教师在博物馆环境中使用VR设计灵活学习空间的概念化与体验过程。采用现象学方法论，结合Lefebvre的空间三元组理论，通过四阶段任务（使用Oculus Rift）收集参与者活动前后的反思数据。研究旨在探索VR如何促进空间素养、教学创造力和专业身份认同，并为教师教育中整合沉浸式技术提供理论框架与实践建议。</w:t>
      </w:r>
    </w:p>
    <w:p>
      <w:pPr>
        <w:pStyle w:val="Heading3"/>
      </w:pPr>
      <w:r>
        <w:t>研究论点</w:t>
      </w:r>
    </w:p>
    <w:p>
      <w:r>
        <w:t>本研究论证了VR不仅是教学媒介，更是职业想象的空间，能够通过具身认知和空间理论的操作，重塑未来教育工作者策划、体验和教授博物馆学习环境的方式。</w:t>
      </w:r>
    </w:p>
    <w:p>
      <w:pPr>
        <w:pStyle w:val="Heading3"/>
      </w:pPr>
      <w:r>
        <w:t>研究问题</w:t>
      </w:r>
    </w:p>
    <w:p>
      <w:r>
        <w:t>摘要未明确说明研究问题，但可推知为：职前教师如何概念化和体验使用VR设计博物馆灵活学习空间？沉浸式数字环境如何促进其空间素养、教学创造力和专业身份认同？</w:t>
      </w:r>
    </w:p>
    <w:p>
      <w:pPr>
        <w:pStyle w:val="Heading3"/>
      </w:pPr>
      <w:r>
        <w:t>研究方法</w:t>
      </w:r>
    </w:p>
    <w:p>
      <w:r>
        <w:t>定性研究；参与者为小学教育项目的职前教师（样本量未说明）；数据来源为活动前后的反思文本；分析方法摘要未说明。</w:t>
      </w:r>
    </w:p>
    <w:p>
      <w:pPr>
        <w:pStyle w:val="Heading3"/>
      </w:pPr>
      <w:r>
        <w:t>主要发现</w:t>
      </w:r>
    </w:p>
    <w:p>
      <w:r>
        <w:t>['VR将抽象的教育理论转化为实际的设计决策，支持职前教师将理论应用于实践。', 'VR设计任务激发了职前教师对学习环境的情感联系，增强了其设计的投入感与意义感。', '参与者报告了在设计包容性和适应性学习环境方面的信心提升，以及将沉浸式工具整合到教育实践中的热情。']</w:t>
      </w:r>
    </w:p>
    <w:p>
      <w:pPr>
        <w:pStyle w:val="Heading3"/>
      </w:pPr>
      <w:r>
        <w:t>对教师教育研究的启示</w:t>
      </w:r>
    </w:p>
    <w:p>
      <w:r>
        <w:t>本研究的启示包括：1）在教师教育课程中嵌入基于VR的博物馆设计任务，以加强空间素养和包容性规划能力；2）推动博物馆与职前教师教育之间的跨部门合作，通过沉浸式基础设施和员工培训促进教学创新；3）在研究方法上，采用现象学方法论和空间三元组理论框架，结合活动前后反思数据，为探究职前教师在沉浸式环境中的概念化与体验过程提供了可借鉴的设计；4）未来研究可进一步明确样本量、数据收集与分析的具体方法（如主题分析或内容分析），以增强研究结论的可推广性。</w:t>
      </w:r>
    </w:p>
    <w:p>
      <w:pPr>
        <w:pStyle w:val="Heading3"/>
      </w:pPr>
      <w:r>
        <w:t>APA引用格式</w:t>
      </w:r>
    </w:p>
    <w:p>
      <w:r>
        <w:t>Rangel‐de Lázaro, G., Duart, J. M., &amp; Cufuna, D. S. A. (2026). Curating flexible learning spaces in museums with a virtual reality application. Education and Information Technologies. https://doi.org/10.1007/s10639-026-14083-0</w:t>
      </w:r>
    </w:p>
    <w:p>
      <w:r>
        <w:br w:type="page"/>
      </w:r>
    </w:p>
    <w:p>
      <w:pPr>
        <w:pStyle w:val="Heading2"/>
      </w:pPr>
      <w:r>
        <w:t>2. &lt;scp&gt;GenAI&lt;/scp&gt; ‐Assisted Digital Multimodal Composing in &lt;scp&gt;TESOL&lt;/scp&gt; Teacher Education / 生成式人工智能辅助的TESOL教师教育数字多模态写作研究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&lt;scp&gt;GenAI&lt;/scp&gt; ‐Assisted Digital Multimodal Composing in &lt;scp&gt;TESOL&lt;/scp&gt; Teacher Education / 生成式人工智能辅助的TESOL教师教育数字多模态写作研究</w:t>
            </w:r>
          </w:p>
        </w:tc>
      </w:tr>
      <w:tr>
        <w:tc>
          <w:tcPr>
            <w:tcW w:type="dxa" w:w="4997"/>
          </w:tcPr>
          <w:p>
            <w:r>
              <w:rPr>
                <w:b/>
              </w:rPr>
              <w:t>作者</w:t>
            </w:r>
          </w:p>
        </w:tc>
        <w:tc>
          <w:tcPr>
            <w:tcW w:type="dxa" w:w="4997"/>
          </w:tcPr>
          <w:p>
            <w:r>
              <w:t>Benjamin Luke Moorhouse, Christoph A. Hafner, Tsz Ying Ho</w:t>
            </w:r>
          </w:p>
        </w:tc>
      </w:tr>
      <w:tr>
        <w:tc>
          <w:tcPr>
            <w:tcW w:type="dxa" w:w="4997"/>
          </w:tcPr>
          <w:p>
            <w:r>
              <w:rPr>
                <w:b/>
              </w:rPr>
              <w:t>期刊及影响因子</w:t>
            </w:r>
          </w:p>
        </w:tc>
        <w:tc>
          <w:tcPr>
            <w:tcW w:type="dxa" w:w="4997"/>
          </w:tcPr>
          <w:p>
            <w:r>
              <w:t>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未提供卷期；DOI: https://doi.org/10.1002/tesq.70184</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0">
              <w:r>
                <w:rPr>
                  <w:color w:val="0563C1"/>
                  <w:u w:val="single"/>
                </w:rPr>
                <w:t>https://doi.org/10.1002/tesq.70184</w:t>
              </w:r>
            </w:hyperlink>
          </w:p>
        </w:tc>
      </w:tr>
    </w:tbl>
    <w:p>
      <w:pPr>
        <w:pStyle w:val="Heading3"/>
      </w:pPr>
      <w:r>
        <w:t>研究摘要</w:t>
      </w:r>
    </w:p>
    <w:p>
      <w:r>
        <w:t>本研究探讨了香港某大学职前TESOL教师如何在网站创作的数字多模态写作项目中整合生成式AI工具，重点关注他们在使用GenAI工具时的决策制定和认知投入。研究基于社会实践视角，探索GenAI如何支持或复杂化多模态写作过程以及职前教师的专业学习成果。数据通过小组和个人刺激回忆访谈以及小组项目网站分析收集。研究发现，所有十组均使用了GenAI工具，但使用方式具有选择性和策略性，受工具效率、能力、真实性、意义建构和期望参与程度的影响。GenAI既用于创建多模态内容（如图像、视频和摘要），也作为写作过程的合作伙伴（如创意生成和反馈）。该项目促进了创造力、数字素养和批判性反思，参与者报告了对多模态和AI辅助教学法的信心增强。然而，也发现对AI可靠性及未来教学环境限制的担忧。研究强调了体验式学习、明确指导和伦理意识在TESOL教师教育中整合AI和数字多模态写作的重要性，为生成式AI时代的课程设计提供了实践启示。</w:t>
      </w:r>
    </w:p>
    <w:p>
      <w:pPr>
        <w:pStyle w:val="Heading3"/>
      </w:pPr>
      <w:r>
        <w:t>研究主要内容</w:t>
      </w:r>
    </w:p>
    <w:p>
      <w:r>
        <w:t>本研究以香港某大学职前TESOL教师为对象，通过数字多模态写作项目（网站创作）考察其整合生成式AI工具的过程，重点分析决策制定和认知投入，并基于社会实践视角探讨AI对多模态写作及专业学习的影响。</w:t>
      </w:r>
    </w:p>
    <w:p>
      <w:pPr>
        <w:pStyle w:val="Heading3"/>
      </w:pPr>
      <w:r>
        <w:t>研究论点</w:t>
      </w:r>
    </w:p>
    <w:p>
      <w:r>
        <w:t>从社会实践视角出发，认为生成式AI工具在数字多模态写作中的整合既支持又复杂化了写作过程，对职前教师的专业学习具有积极和挑战性影响，需要体验式学习、明确指导和伦理意识。</w:t>
      </w:r>
    </w:p>
    <w:p>
      <w:pPr>
        <w:pStyle w:val="Heading3"/>
      </w:pPr>
      <w:r>
        <w:t>研究问题</w:t>
      </w:r>
    </w:p>
    <w:p>
      <w:r>
        <w:t>职前TESOL教师如何在数字多模态写作项目中整合生成式AI工具？他们在拥有使用自主权时，在写作过程中的决策制定和认知投入是怎样的？</w:t>
      </w:r>
    </w:p>
    <w:p>
      <w:pPr>
        <w:pStyle w:val="Heading3"/>
      </w:pPr>
      <w:r>
        <w:t>研究方法</w:t>
      </w:r>
    </w:p>
    <w:p>
      <w:r>
        <w:t>定性研究；样本为10组职前TESOL教师（具体人数未说明）；数据来源包括小组和个人刺激回忆访谈、小组项目网站内容分析；分析方法未明确说明，但基于发现推断为定性主题分析。</w:t>
      </w:r>
    </w:p>
    <w:p>
      <w:pPr>
        <w:pStyle w:val="Heading3"/>
      </w:pPr>
      <w:r>
        <w:t>主要发现</w:t>
      </w:r>
    </w:p>
    <w:p>
      <w:r>
        <w:t>['所有十组职前教师均使用了GenAI工具，但使用具有选择性和策略性，受工具效率、能力、真实性、意义建构和期望参与程度的影响。', 'GenAI既用于创建多模态内容（如图像、视频、摘要），也作为写作过程的合作伙伴（如创意生成和反馈），支持了多模态写作的多个阶段。', '项目促进了创造力、数字素养和批判性反思，参与者对多模态和AI辅助教学法的信心增强；但同时也存在对AI可靠性及未来教学环境限制的担忧。']</w:t>
      </w:r>
    </w:p>
    <w:p>
      <w:pPr>
        <w:pStyle w:val="Heading3"/>
      </w:pPr>
      <w:r>
        <w:t>对教师教育研究的启示</w:t>
      </w:r>
    </w:p>
    <w:p>
      <w:r>
        <w:t>研究启示教师教育应重视体验式学习，让学生在实际项目中自主探索GenAI的使用；需要提供明确指导和伦理教育以应对AI可靠性和情境限制；研究设计（定性多案例、刺激回忆访谈、项目作品分析）可供借鉴，帮助理解教师决策过程；课程设计需在多模态写作中嵌入AI工具使用策略，培养批判性反思能力。</w:t>
      </w:r>
    </w:p>
    <w:p>
      <w:pPr>
        <w:pStyle w:val="Heading3"/>
      </w:pPr>
      <w:r>
        <w:t>APA引用格式</w:t>
      </w:r>
    </w:p>
    <w:p>
      <w:r>
        <w:t>Moorhouse, B. L., Hafner, C. A., &amp; Ho, T. Y. (2026). GenAI-assisted digital multimodal composing in TESOL teacher education. TESOL Quarterly. https://doi.org/10.1002/tesq.70184</w:t>
      </w:r>
    </w:p>
    <w:p>
      <w:r>
        <w:br w:type="page"/>
      </w:r>
    </w:p>
    <w:p>
      <w:pPr>
        <w:pStyle w:val="Heading2"/>
      </w:pPr>
      <w:r>
        <w:t>3. Generative AI for Teaching-Learning-Assessment Integration in Primary and Secondary School Music Classrooms: Internal Logic, Risks, and Strategies / 生成式人工智能在中小学音乐课堂中教学-学习-评价一体化的应用：内在逻辑、风险与策略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for Teaching-Learning-Assessment Integration in Primary and Secondary School Music Classrooms: Internal Logic, Risks, and Strategies / 生成式人工智能在中小学音乐课堂中教学-学习-评价一体化的应用：内在逻辑、风险与策略</w:t>
            </w:r>
          </w:p>
        </w:tc>
      </w:tr>
      <w:tr>
        <w:tc>
          <w:tcPr>
            <w:tcW w:type="dxa" w:w="4997"/>
          </w:tcPr>
          <w:p>
            <w:r>
              <w:rPr>
                <w:b/>
              </w:rPr>
              <w:t>作者</w:t>
            </w:r>
          </w:p>
        </w:tc>
        <w:tc>
          <w:tcPr>
            <w:tcW w:type="dxa" w:w="4997"/>
          </w:tcPr>
          <w:p>
            <w:r>
              <w:t>Li Jiaxin</w:t>
            </w:r>
          </w:p>
        </w:tc>
      </w:tr>
      <w:tr>
        <w:tc>
          <w:tcPr>
            <w:tcW w:type="dxa" w:w="4997"/>
          </w:tcPr>
          <w:p>
            <w:r>
              <w:rPr>
                <w:b/>
              </w:rPr>
              <w:t>期刊及影响因子</w:t>
            </w:r>
          </w:p>
        </w:tc>
        <w:tc>
          <w:tcPr>
            <w:tcW w:type="dxa" w:w="4997"/>
          </w:tcPr>
          <w:p>
            <w:r>
              <w:t>期刊为IRA International Journal of Education and Multidisciplinary Studies，SSCI分类为International Relations，未提供影响因子和JCR分区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22(2), doi:10.21013/jems.v22.n2.p4</w:t>
            </w:r>
          </w:p>
        </w:tc>
      </w:tr>
      <w:tr>
        <w:tc>
          <w:tcPr>
            <w:tcW w:type="dxa" w:w="4997"/>
          </w:tcPr>
          <w:p>
            <w:r>
              <w:rPr>
                <w:b/>
              </w:rPr>
              <w:t>在线发表时间</w:t>
            </w:r>
          </w:p>
        </w:tc>
        <w:tc>
          <w:tcPr>
            <w:tcW w:type="dxa" w:w="4997"/>
          </w:tcPr>
          <w:p>
            <w:r>
              <w:t>2026-07-09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https://doi.org/10.21013/jems.v22.n2.p4</w:t>
              </w:r>
            </w:hyperlink>
          </w:p>
        </w:tc>
      </w:tr>
    </w:tbl>
    <w:p>
      <w:pPr>
        <w:pStyle w:val="Heading3"/>
      </w:pPr>
      <w:r>
        <w:t>研究摘要</w:t>
      </w:r>
    </w:p>
    <w:p>
      <w:r>
        <w:t>随着教育数字化转型的持续推进，生成式人工智能（GenAI）作为支持中小学音乐课堂教学-学习-评价一体化的一种可能手段日益受到关注。本文以GenAI为主要术语，在讨论AI生成的数字内容时保留“AI生成内容”（AIGC）一词。从课堂对齐的视角出发，GenAI可通过四种方式支持音乐教学：帮助教师明确能力导向的学习目标、扩展和重组音乐学习内容、生成差异化教学方案、为形成性评价提供及时证据。同时，GenAI在音乐课堂中的使用可能带来新风险：学习目标的算法模糊、多元音乐传统的文化扁平化、艺术指导的过度标准化以及评价缩窄为可测量的指标。为应对这些风险，本文提出四项策略：保持教师的教学与伦理领导力、通过校本课程开发调整GenAI生成的教学计划、开发音乐专用大模型与多模态支持工具、构建量化分析与专业艺术判断相结合的协作评价机制。研究认为，GenAI不应取代教师的审美、文化和教育能动性，其价值在于支持更具回应性和证据驱动的音乐课堂，同时始终从属于美育目标。</w:t>
      </w:r>
    </w:p>
    <w:p>
      <w:pPr>
        <w:pStyle w:val="Heading3"/>
      </w:pPr>
      <w:r>
        <w:t>研究主要内容</w:t>
      </w:r>
    </w:p>
    <w:p>
      <w:r>
        <w:t>本文从课堂一致性（classroom alignment）视角出发，系统分析了生成式人工智能（GenAI）在中小学音乐课堂中实现教学-学习-评价一体化（TLA Integration）的内在逻辑、潜在风险及应对策略。文章首先提出GenAI通过四种机制支持音乐教学：辅助教师设定能力导向的学习目标、扩展和重组音乐学习内容、生成分层教学方案、为形成性评价提供及时数据。其次，识别了四类风险：学习目标被算法模糊化、音乐文化多样性被抹平、艺术指导过度标准化、评价窄化为可测量指标。最后提出四条策略：维护教师的教学与伦理领导力、基于校本课程开发调整GenAI计划、开发音乐专用大模型与多模态工具、构建量化与艺术判断结合的协作评价。文章强调GenAI作为工具应服务于审美教育目标，而非替代教师的专业判断。</w:t>
      </w:r>
    </w:p>
    <w:p>
      <w:pPr>
        <w:pStyle w:val="Heading3"/>
      </w:pPr>
      <w:r>
        <w:t>研究论点</w:t>
      </w:r>
    </w:p>
    <w:p>
      <w:r>
        <w:t>生成式人工智能不应取代教师的审美、文化和教育能动性，其价值在于支持更具回应性和证据驱动的音乐课堂，同时始终从属于美育目标。</w:t>
      </w:r>
    </w:p>
    <w:p>
      <w:pPr>
        <w:pStyle w:val="Heading3"/>
      </w:pPr>
      <w:r>
        <w:t>研究问题</w:t>
      </w:r>
    </w:p>
    <w:p>
      <w:r>
        <w:t>本文隐含的研究问题为：如何在中小学音乐课堂中通过生成式人工智能实现教学-学习-评价一体化？其内在逻辑、潜在风险和应对策略分别是什么？</w:t>
      </w:r>
    </w:p>
    <w:p>
      <w:pPr>
        <w:pStyle w:val="Heading3"/>
      </w:pPr>
      <w:r>
        <w:t>研究方法</w:t>
      </w:r>
    </w:p>
    <w:p>
      <w:r>
        <w:t>研究类型：理论性/概念性研究。样本与参与者：无。数据来源：无。分析方法：概念分析与逻辑论证（摘要未说明具体的文献综述或实证分析方法，仅基于理论推导提出框架）。</w:t>
      </w:r>
    </w:p>
    <w:p>
      <w:pPr>
        <w:pStyle w:val="Heading3"/>
      </w:pPr>
      <w:r>
        <w:t>主要发现</w:t>
      </w:r>
    </w:p>
    <w:p>
      <w:r>
        <w:t>['GenAI支持音乐课堂教学-学习-评价一体化的四种方式：帮助教师明确能力导向的学习目标、扩展和重组学习内容、生成差异化教学方案、为形成性评价提供及时证据。', '使用GenAI的四种风险：学习目标被算法模糊化、多元音乐传统文化扁平化、艺术指导过度标准化、评价缩窄为可量化指标。', '提出四项应对策略：保持教师教学与伦理领导力、校本课程开发调整AI方案、开发音乐专用大模型与多模态工具、构建量化分析与艺术判断结合的协作评价机制。']</w:t>
      </w:r>
    </w:p>
    <w:p>
      <w:pPr>
        <w:pStyle w:val="Heading3"/>
      </w:pPr>
      <w:r>
        <w:t>对教师教育研究的启示</w:t>
      </w:r>
    </w:p>
    <w:p>
      <w:r>
        <w:t>本文对教师教育研究的启示包括：1）未来可围绕GenAI某一种支持方式（如差异化教学方案生成）开展实证研究，设计准实验或行动研究考察其对教师教学决策的影响；2）可对教师进行深度访谈或问卷调查，了解其对GenAI伦理风险（如文化扁平化、评价窄化）的认知与应对能力；3）研究方法上可采用混合方法，结合课堂观察、教师反思日志和AI生成内容分析，探索教师如何在校本课程开发中调适GenAI输出的教学计划；4）可开发教师数字素养评估工具，关注音乐教师对AI工具的批判性使用能力。</w:t>
      </w:r>
    </w:p>
    <w:p>
      <w:pPr>
        <w:pStyle w:val="Heading3"/>
      </w:pPr>
      <w:r>
        <w:t>APA引用格式</w:t>
      </w:r>
    </w:p>
    <w:p>
      <w:r>
        <w:t>Li, J. (2026). Generative AI for teaching-learning-assessment integration in primary and secondary school music classrooms: Internal logic, risks, and strategies. IRA International Journal of Education and Multidisciplinary Studies, 22(2). https://doi.org/10.21013/jems.v22.n2.p4</w:t>
      </w:r>
    </w:p>
    <w:p>
      <w:r>
        <w:br w:type="page"/>
      </w:r>
    </w:p>
    <w:p>
      <w:pPr>
        <w:pStyle w:val="Heading2"/>
      </w:pPr>
      <w:r>
        <w:t>4. Exploring the effect of computational thinking levels on students' learning performance, cognition, and behavior when using AI coding assistants / 探究使用人工智能编码助手时计算思维水平对学生的学习表现、认知和行为的影响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the effect of computational thinking levels on students' learning performance, cognition, and behavior when using AI coding assistants / 探究使用人工智能编码助手时计算思维水平对学生的学习表现、认知和行为的影响</w:t>
            </w:r>
          </w:p>
        </w:tc>
      </w:tr>
      <w:tr>
        <w:tc>
          <w:tcPr>
            <w:tcW w:type="dxa" w:w="4997"/>
          </w:tcPr>
          <w:p>
            <w:r>
              <w:rPr>
                <w:b/>
              </w:rPr>
              <w:t>作者</w:t>
            </w:r>
          </w:p>
        </w:tc>
        <w:tc>
          <w:tcPr>
            <w:tcW w:type="dxa" w:w="4997"/>
          </w:tcPr>
          <w:p>
            <w:r>
              <w:t>Zhao, S., Wang, Z., Chen, T., Kang, C., &amp; Lan, Y.-J.</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10.1007/s11423-026-10663-6</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https://doi.org/10.1007/s11423-026-10663-6</w:t>
              </w:r>
            </w:hyperlink>
          </w:p>
        </w:tc>
      </w:tr>
    </w:tbl>
    <w:p>
      <w:pPr>
        <w:pStyle w:val="Heading3"/>
      </w:pPr>
      <w:r>
        <w:t>研究摘要</w:t>
      </w:r>
    </w:p>
    <w:p>
      <w:r>
        <w:t>随着人工智能编码助手（AICAs）在K-12编码教育中的普及，学生的计算思维（CT）水平在学习过程中的作用仍未得到充分探索。虽然现有研究关注整体结果，本研究探讨CT水平对学生学习表现、行为模式和认知模式的影响，以揭示底层的过程层面机制。78名八年级学生参与了为期四周的AICA辅助Python编码课程。根据有效的CT前测结果，选取前三分之一和后三分之一的学生进行比较分析，最终样本52名学生。通过前后测试评估学习表现，使用滞后序列分析（LSA）和认知网络分析（ENA）分析屏幕录制视频和反思日记。结果显示高CT组学习表现显著优于低CT组；行为上，高CT学生使用AICA更好地理解代码，低CT学生用于直接获取答案；认知上，高CT组在反思日记中表现出更强的自我调节一致性。提出了两种差异化的教学策略。</w:t>
      </w:r>
    </w:p>
    <w:p>
      <w:pPr>
        <w:pStyle w:val="Heading3"/>
      </w:pPr>
      <w:r>
        <w:t>研究主要内容</w:t>
      </w:r>
    </w:p>
    <w:p>
      <w:r>
        <w:t>研究采用准实验设计，基于CT前测从78名八年级学生中筛选出高CT和低CT各26名（共52人）。所有学生参加为期四周的AICA辅助Python课程。数据包括前后测成绩、屏幕录制视频和反思日记。通过滞后序列分析（LSA）考察行为轨迹，通过认知网络分析（ENA）考察认知结构连贯性。结果表明，高CT组在学习表现上显著优于低CT组；行为模式上，高CT组倾向于利用AICA进行代码理解和调试，而低CT组更多用于直接索取答案；认知模式上，高CT组的反思日记表现出更强的自我调节认知连贯性，即计划、执行和自我反思阶段之间的连接更为紧密，低CT组则缺乏这一结构。研究据此提出两种差异化教学策略：为高CT学生提供开放式AICA支持以促进独立探索，为低CT学生提供结构化指导以增强独立学习和自我调节学习能力。</w:t>
      </w:r>
    </w:p>
    <w:p>
      <w:pPr>
        <w:pStyle w:val="Heading3"/>
      </w:pPr>
      <w:r>
        <w:t>研究论点</w:t>
      </w:r>
    </w:p>
    <w:p>
      <w:r>
        <w:t>虽然AI编码助手在K-12教育中日益普及，但学生自身的计算思维水平如何影响其与AI互动的方式以及学习过程（包括表现、行为和认知）尚未被充分揭示。本研究认为CT水平是调节学生从AICA中获益的关键个体差异因素，会导致不同的行为轨迹和认知结构，从而需要差异化的教学支持。</w:t>
      </w:r>
    </w:p>
    <w:p>
      <w:pPr>
        <w:pStyle w:val="Heading3"/>
      </w:pPr>
      <w:r>
        <w:t>研究问题</w:t>
      </w:r>
    </w:p>
    <w:p>
      <w:r>
        <w:t>计算思维水平如何影响学生在使用AI编码助手时的学习表现、行为模式和认知模式？</w:t>
      </w:r>
    </w:p>
    <w:p>
      <w:pPr>
        <w:pStyle w:val="Heading3"/>
      </w:pPr>
      <w:r>
        <w:t>研究方法</w:t>
      </w:r>
    </w:p>
    <w:p>
      <w:r>
        <w:t>混合研究方法。样本：从一所公立中学的78名八年级学生（13-15岁）中，根据经过验证的CT前测得分，选取前三分之一（高CT组）和后三分之一（低CT组）进行对比分析，最终有效样本52人（每组26人）。数据来源：学习表现通过前后测试评估；行为数据通过屏幕录制视频收集；认知数据通过反思日记收集。分析方法：行为模式使用滞后序列分析（LSA）进行行为轨迹分析；认知模式使用认知网络分析（ENA）进行认知结构连贯性分析。</w:t>
      </w:r>
    </w:p>
    <w:p>
      <w:pPr>
        <w:pStyle w:val="Heading3"/>
      </w:pPr>
      <w:r>
        <w:t>主要发现</w:t>
      </w:r>
    </w:p>
    <w:p>
      <w:r>
        <w:t>['1. 高CT组的学习表现显著优于低CT组，表明CT水平是影响AICA辅助编程学习成效的关键因素。', '2. 行为模式差异：高CT学生利用AICA进行代码理解和调试（如解释代码错误、优化逻辑），而低CT学生倾向于直接向AICA索取答案（如询问完整代码），反映出不同的使用策略。', '3. 认知模式差异：基于反思日记的ENA结果显示，高CT组表现出更强的自我调节认知连贯性，即在计划、执行和自我反思三个阶段之间存在紧密联结的转换；低CT组则缺乏这种结构化转换。']</w:t>
      </w:r>
    </w:p>
    <w:p>
      <w:pPr>
        <w:pStyle w:val="Heading3"/>
      </w:pPr>
      <w:r>
        <w:t>对教师教育研究的启示</w:t>
      </w:r>
    </w:p>
    <w:p>
      <w:r>
        <w:t>1. 教师教育应培养教师识别不同CT水平学生的能力，以便设计差异化教学策略，如对高CT学生提供开放式AICA探索任务，对低CT学生提供结构化引导。2. 本研究展示了如何结合学习分析技术（LSA和ENA）从过程数据中挖掘学生行为与认知模式，未来教师教育可引入类似的训练，帮助教师基于实证证据调整教学。3. 教师需要了解AI编码助手（如AICA）的潜力与风险，引导学生批判性使用而不是单纯依赖工具，尤其是在低CT学生中培养独立学习与自我调节能力。4. 研究设计为教师研究者提供了一个混合方法范式：结合前后测（定量）与视频/反思日志的过程分析（定性），可复制于其他教育场景。</w:t>
      </w:r>
    </w:p>
    <w:p>
      <w:pPr>
        <w:pStyle w:val="Heading3"/>
      </w:pPr>
      <w:r>
        <w:t>APA引用格式</w:t>
      </w:r>
    </w:p>
    <w:p>
      <w:r>
        <w:t>Zhao, S., Wang, Z., Chen, T., Kang, C., &amp; Lan, Y.-J. (2026). Exploring the effect of computational thinking levels on students' learning performance, cognition, and behavior when using AI coding assistants. Educational Technology Research and Development. https://doi.org/10.1007/s11423-026-10663-6</w:t>
      </w:r>
    </w:p>
    <w:p>
      <w:r>
        <w:br w:type="page"/>
      </w:r>
    </w:p>
    <w:p>
      <w:pPr>
        <w:pStyle w:val="Heading2"/>
      </w:pPr>
      <w:r>
        <w:t>5. Unlocking potential in the midst of constraints: a praxeological–ecological analysis of meta-didactical practices in mathematics teacher education in Ghana / 在约束中释放潜能：加纳数学教师教育中元教学实践的实践学-生态学分析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Unlocking potential in the midst of constraints: a praxeological–ecological analysis of meta-didactical practices in mathematics teacher education in Ghana / 在约束中释放潜能：加纳数学教师教育中元教学实践的实践学-生态学分析</w:t>
            </w:r>
          </w:p>
        </w:tc>
      </w:tr>
      <w:tr>
        <w:tc>
          <w:tcPr>
            <w:tcW w:type="dxa" w:w="4997"/>
          </w:tcPr>
          <w:p>
            <w:r>
              <w:rPr>
                <w:b/>
              </w:rPr>
              <w:t>作者</w:t>
            </w:r>
          </w:p>
        </w:tc>
        <w:tc>
          <w:tcPr>
            <w:tcW w:type="dxa" w:w="4997"/>
          </w:tcPr>
          <w:p>
            <w:r>
              <w:t>Farouq Sessah Mensah</w:t>
            </w:r>
          </w:p>
        </w:tc>
      </w:tr>
      <w:tr>
        <w:tc>
          <w:tcPr>
            <w:tcW w:type="dxa" w:w="4997"/>
          </w:tcPr>
          <w:p>
            <w:r>
              <w:rPr>
                <w:b/>
              </w:rPr>
              <w:t>期刊及影响因子</w:t>
            </w:r>
          </w:p>
        </w:tc>
        <w:tc>
          <w:tcPr>
            <w:tcW w:type="dxa" w:w="4997"/>
          </w:tcPr>
          <w:p>
            <w:r>
              <w:t>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1573-1820</w:t>
            </w:r>
          </w:p>
        </w:tc>
      </w:tr>
      <w:tr>
        <w:tc>
          <w:tcPr>
            <w:tcW w:type="dxa" w:w="4997"/>
          </w:tcPr>
          <w:p>
            <w:r>
              <w:rPr>
                <w:b/>
              </w:rPr>
              <w:t>卷期/DOI</w:t>
            </w:r>
          </w:p>
        </w:tc>
        <w:tc>
          <w:tcPr>
            <w:tcW w:type="dxa" w:w="4997"/>
          </w:tcPr>
          <w:p>
            <w:r>
              <w:t>卷期未提供，DOI: https://doi.org/10.1007/s10857-026-09769-8</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https://doi.org/10.1007/s10857-026-09769-8</w:t>
              </w:r>
            </w:hyperlink>
          </w:p>
        </w:tc>
      </w:tr>
    </w:tbl>
    <w:p>
      <w:pPr>
        <w:pStyle w:val="Heading3"/>
      </w:pPr>
      <w:r>
        <w:t>研究摘要</w:t>
      </w:r>
    </w:p>
    <w:p>
      <w:r>
        <w:t>Abstract Calls for integrating instructional technology into mathematics education often assume ideal classroom conditions that rarely exist in Global South contexts. Such assumptions overlook the complex realities faced by educators who must adapt global pedagogical visions to resource-constrained and structurally fragile ecologies. In response to this disconnect, this study examines how mathematics teacher educators (MTEs) in Ghana support pre-service teachers (PSTs) in the didactics of mathematics, integrating instructional technology amid systemic constraints. Grounded in the Meta-Didactical Transposition model, the study adopts a praxeological–ecological perspective to analyse the meta-didactical praxeologies through which didactic practices are taught in teacher education. The analysis traces how type of tasks, techniques, and justificatory discourses are organised across pre-didactic, didactic, and post-didactic phases, and how these are conditioned by material, institutional, and policy ecologies. Drawing on course plans, national and institutional policy documents, and interviews with MTEs, the analysis reveals a consistent privileging of performative and assessable meta-didactical praxeologies, oriented toward visible artefact production and lesson demonstration, while the logos dimension, particularly explicit theoretical justification, remains weakly transposed as an object of learning. Rather than interpreting this pattern through a deficit lens, the study conceptualises these configurations as ecologically rational adaptations to large class sizes, infrastructural scarcity, assessment regimes, and PSTs’ limited prior exposure to instructional technology. However, these adaptations also generate praxeological discontinuities, particularly through the marginalisation of logos-rich meta-didactical work, which constrains PSTs’ opportunities to develop theoretically grounded didactic reasoning about instructional technology integration. Foregrounding the situated agency of MTEs, the study reframes instructional technology integration as meta-didactical translation under constraint rather than as failed implementation. It concludes by calling for teacher education policies and professional development initiatives that support praxeological coherence and the explicit transposition of justificatory discourse, enabling ecologically responsive yet conceptually grounded engagement with instructional technology-integrated mathematics teaching.</w:t>
      </w:r>
    </w:p>
    <w:p>
      <w:pPr>
        <w:pStyle w:val="Heading3"/>
      </w:pPr>
      <w:r>
        <w:t>研究主要内容</w:t>
      </w:r>
    </w:p>
    <w:p>
      <w:r>
        <w:t>本研究聚焦加纳数学教师教育者（MTEs）如何在系统性约束下支持职前教师（PSTs）的数学教学法学习，同时整合教学技术。基于元教学转换模型（Meta-Didactical Transposition model），采用实践学-生态学视角，分析MTEs在教师教育中教授教学实践时的元教学实践学（meta-didactical praxeologies）。研究追踪了任务类型、技术以及辩护性话语在前教学、教学和后教学阶段的组织方式，以及这些如何受物质、制度和政策生态的制约。数据来源包括课程计划、国家和机构政策文件以及对MTEs的访谈。</w:t>
      </w:r>
    </w:p>
    <w:p>
      <w:pPr>
        <w:pStyle w:val="Heading3"/>
      </w:pPr>
      <w:r>
        <w:t>研究论点</w:t>
      </w:r>
    </w:p>
    <w:p>
      <w:r>
        <w:t>该研究认为，在全球南方资源受限的背景下，教学技术整合不应被视为失败的实施，而应被理解为在约束条件下的元教学翻译（meta-didactical translation）。教师教育中的实践应被看作是生态理性的适应，而非缺陷导向的表现，但同时也需关注因理论话语薄弱导致的实践学不连续性。</w:t>
      </w:r>
    </w:p>
    <w:p>
      <w:pPr>
        <w:pStyle w:val="Heading3"/>
      </w:pPr>
      <w:r>
        <w:t>研究问题</w:t>
      </w:r>
    </w:p>
    <w:p>
      <w:r>
        <w:t>加纳数学教师教育者如何在系统性约束下支持职前教师的数学教学法学习，并在其中整合教学技术？</w:t>
      </w:r>
    </w:p>
    <w:p>
      <w:pPr>
        <w:pStyle w:val="Heading3"/>
      </w:pPr>
      <w:r>
        <w:t>研究方法</w:t>
      </w:r>
    </w:p>
    <w:p>
      <w:r>
        <w:t>定性研究。参与者：加纳的数学教师教育者（MTEs）（具体数量摘要未说明）。数据来源：课程计划、国家和机构政策文件、对MTEs的访谈。分析方法：基于元教学转换模型的实践学-生态学分析，追溯任务类型、技术和辩护性话语在不同教学阶段的组织及其与物质、制度和政策生态的相互作用。</w:t>
      </w:r>
    </w:p>
    <w:p>
      <w:pPr>
        <w:pStyle w:val="Heading3"/>
      </w:pPr>
      <w:r>
        <w:t>主要发现</w:t>
      </w:r>
    </w:p>
    <w:p>
      <w:r>
        <w:t>['教师教育者一致倾向于强调表演性和可评估的元教学实践学，以可见的人工制品制作和课堂示范为导向。', '而逻辑维度（logos dimension），特别是明确的理论辩护，在学习对象中未被充分转化。', '这种模式被概念化为对班级规模大、基础设施匮乏、评估制度以及职前教师先前技术接触有限等约束的生态理性适应，但同时也导致了实践学不连续性，限制了职前教师发展理论支撑的教学推理。']</w:t>
      </w:r>
    </w:p>
    <w:p>
      <w:pPr>
        <w:pStyle w:val="Heading3"/>
      </w:pPr>
      <w:r>
        <w:t>对教师教育研究的启示</w:t>
      </w:r>
    </w:p>
    <w:p>
      <w:r>
        <w:t>对教师教育研究的启示：该研究揭示了在资源受限背景下教学技术整合的复杂性，提示研究者关注教师教育者的情境能动性，并呼吁制定支持实践学一致性和辩护性话语显性转化的教师教育政策与专业发展计划。未来的研究可借鉴其实践学-生态学分析框架，在类似全球南方情境中探索如何平衡表演性实践与理论逻辑的转化，以及如何通过政策干预促进实践学连贯性。</w:t>
      </w:r>
    </w:p>
    <w:p>
      <w:pPr>
        <w:pStyle w:val="Heading3"/>
      </w:pPr>
      <w:r>
        <w:t>APA引用格式</w:t>
      </w:r>
    </w:p>
    <w:p>
      <w:r>
        <w:t>Mensah, F. S. (2026). Unlocking potential in the midst of constraints: a praxeological–ecological analysis of meta-didactical practices in mathematics teacher education in Ghana. Journal of Mathematics Teacher Education. https://doi.org/10.1007/s10857-026-09769-8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89.69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0639-026-14083-0" TargetMode="External"/><Relationship Id="rId10" Type="http://schemas.openxmlformats.org/officeDocument/2006/relationships/hyperlink" Target="https://doi.org/10.1002/tesq.70184" TargetMode="External"/><Relationship Id="rId11" Type="http://schemas.openxmlformats.org/officeDocument/2006/relationships/hyperlink" Target="https://doi.org/10.21013/jems.v22.n2.p4" TargetMode="External"/><Relationship Id="rId12" Type="http://schemas.openxmlformats.org/officeDocument/2006/relationships/hyperlink" Target="https://doi.org/10.1007/s11423-026-10663-6" TargetMode="External"/><Relationship Id="rId13" Type="http://schemas.openxmlformats.org/officeDocument/2006/relationships/hyperlink" Target="https://doi.org/10.1007/s10857-026-097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