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每日SSCI文献简报｜2026-07-07</w:t>
      </w:r>
    </w:p>
    <w:p>
      <w:pPr>
        <w:jc w:val="center"/>
      </w:pPr>
      <w:r>
        <w:rPr>
          <w:color w:val="596882"/>
          <w:sz w:val="22"/>
        </w:rPr>
        <w:t>学前与基础教育 · AI教学应用 · 教师数字/智能/数据素养 · 教师教育</w:t>
      </w:r>
    </w:p>
    <w:p>
      <w:pPr>
        <w:ind w:left="230" w:right="230"/>
      </w:pPr>
      <w:r>
        <w:rPr>
          <w:i/>
          <w:color w:val="596882"/>
        </w:rPr>
        <w:t>今日不足5篇，未重复推荐；实际筛选1篇。</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2026-07-07 12:46:38（北京时间）</w:t>
            </w:r>
          </w:p>
        </w:tc>
      </w:tr>
      <w:tr>
        <w:tc>
          <w:tcPr>
            <w:tcW w:type="dxa" w:w="4997"/>
          </w:tcPr>
          <w:p>
            <w:r>
              <w:rPr>
                <w:b/>
              </w:rPr>
              <w:t>检索窗口</w:t>
            </w:r>
          </w:p>
        </w:tc>
        <w:tc>
          <w:tcPr>
            <w:tcW w:type="dxa" w:w="4997"/>
          </w:tcPr>
          <w:p>
            <w:r>
              <w:t>2023-07-08 — 2026-07-07</w:t>
            </w:r>
          </w:p>
        </w:tc>
      </w:tr>
      <w:tr>
        <w:tc>
          <w:tcPr>
            <w:tcW w:type="dxa" w:w="4997"/>
          </w:tcPr>
          <w:p>
            <w:r>
              <w:rPr>
                <w:b/>
              </w:rPr>
              <w:t>检索与筛选</w:t>
            </w:r>
          </w:p>
        </w:tc>
        <w:tc>
          <w:tcPr>
            <w:tcW w:type="dxa" w:w="4997"/>
          </w:tcPr>
          <w:p>
            <w:r>
              <w:t>检索 750 篇；筛选 1 篇；AI成功 1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关注后数字教育在多数世界（如太平洋岛国）的本土化重构，采用批判-生态框架挑战西方主导的“一刀切”模式，强调文化相关性、资源限制与教育主权，对探索中国语境下技术增强学习的适切性与公平转型具有启示。</w:t>
      </w:r>
    </w:p>
    <w:p>
      <w:pPr>
        <w:pStyle w:val="Heading1"/>
      </w:pPr>
      <w:r>
        <w:t>目录</w:t>
      </w:r>
    </w:p>
    <w:p>
      <w:pPr>
        <w:pStyle w:val="ListNumber"/>
      </w:pPr>
      <w:r>
        <w:rPr>
          <w:b/>
        </w:rPr>
        <w:t>通过批判-生态透镜重新定位太平洋地区后数字教育</w:t>
      </w:r>
      <w:r>
        <w:t>｜Postdigital Science and Education｜2026-07-07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Recentring Postdigital Education in the Pacific Through a Critical–Ecological Lens / 通过批判-生态透镜重新定位太平洋地区后数字教育</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Recentring Postdigital Education in the Pacific Through a Critical–Ecological Lens / 通过批判-生态透镜重新定位太平洋地区后数字教育</w:t>
            </w:r>
          </w:p>
        </w:tc>
      </w:tr>
      <w:tr>
        <w:tc>
          <w:tcPr>
            <w:tcW w:type="dxa" w:w="4997"/>
          </w:tcPr>
          <w:p>
            <w:r>
              <w:rPr>
                <w:b/>
              </w:rPr>
              <w:t>作者</w:t>
            </w:r>
          </w:p>
        </w:tc>
        <w:tc>
          <w:tcPr>
            <w:tcW w:type="dxa" w:w="4997"/>
          </w:tcPr>
          <w:p>
            <w:r>
              <w:t>Sangeeta Nath Prasad, Cheryl Brown, Kathryn MacCallum, Sandra Williamson-Leadley</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10.1007/s42438-026-00678-w</w:t>
            </w:r>
          </w:p>
        </w:tc>
      </w:tr>
      <w:tr>
        <w:tc>
          <w:tcPr>
            <w:tcW w:type="dxa" w:w="4997"/>
          </w:tcPr>
          <w:p>
            <w:r>
              <w:rPr>
                <w:b/>
              </w:rPr>
              <w:t>在线发表时间</w:t>
            </w:r>
          </w:p>
        </w:tc>
        <w:tc>
          <w:tcPr>
            <w:tcW w:type="dxa" w:w="4997"/>
          </w:tcPr>
          <w:p>
            <w:r>
              <w:t>2026-07-07</w:t>
            </w:r>
          </w:p>
        </w:tc>
      </w:tr>
      <w:tr>
        <w:tc>
          <w:tcPr>
            <w:tcW w:type="dxa" w:w="4997"/>
          </w:tcPr>
          <w:p>
            <w:r>
              <w:rPr>
                <w:b/>
              </w:rPr>
              <w:t>SSCI分类</w:t>
            </w:r>
          </w:p>
        </w:tc>
        <w:tc>
          <w:tcPr>
            <w:tcW w:type="dxa" w:w="4997"/>
          </w:tcPr>
          <w:p>
            <w:r>
              <w:t>Education &amp; Educational Research；History &amp; Philosophy Of Science</w:t>
            </w:r>
          </w:p>
        </w:tc>
      </w:tr>
      <w:tr>
        <w:tc>
          <w:tcPr>
            <w:tcW w:type="dxa" w:w="4997"/>
          </w:tcPr>
          <w:p>
            <w:r>
              <w:rPr>
                <w:b/>
              </w:rPr>
              <w:t>论文链接</w:t>
            </w:r>
          </w:p>
        </w:tc>
        <w:tc>
          <w:tcPr>
            <w:tcW w:type="dxa" w:w="4997"/>
          </w:tcPr>
          <w:p>
            <w:hyperlink r:id="rId9">
              <w:r>
                <w:rPr>
                  <w:color w:val="0563C1"/>
                  <w:u w:val="single"/>
                </w:rPr>
                <w:t>https://doi.org/10.1007/s42438-026-00678-w</w:t>
              </w:r>
            </w:hyperlink>
          </w:p>
        </w:tc>
      </w:tr>
    </w:tbl>
    <w:p>
      <w:pPr>
        <w:pStyle w:val="Heading3"/>
      </w:pPr>
      <w:r>
        <w:t>研究摘要</w:t>
      </w:r>
    </w:p>
    <w:p>
      <w:r>
        <w:t>太平洋岛国（PICs）的数字教育一直受到少数世界的结构、政策和资金的影响。然而，这些承诺的机会未能考虑到PICs的多样性和文化背景，导致不可持续的教育实践。基于一项关于技术增强学习（TEL）可持续性的研究，本文考察了斐济一所城市小学和一所农村小学的案例研究。我们提出了一个批判-生态框架作为分析透镜，整合批判理论和生态系统理论的见解，以考察权力、文化和结构如何在具体情境中塑造TEL。该框架强调了文化相关性、资源限制和合作伙伴关系如何调节技术使用，指出后数字教育必须扎根当地而非输入。本研究通过提供基于证据的见解，挑战了占主导地位的少数世界“一刀切”叙事，并倡导在太平洋地区推进公平、转型和地方教育主权的后数字策略，为多数世界的后数字教育做出贡献。</w:t>
      </w:r>
    </w:p>
    <w:p>
      <w:pPr>
        <w:pStyle w:val="Heading3"/>
      </w:pPr>
      <w:r>
        <w:t>研究主要内容</w:t>
      </w:r>
    </w:p>
    <w:p>
      <w:r>
        <w:t>通过批判-生态框架分析斐济城市和农村小学的技术增强学习案例，强调后数字教育必须与当地文化、资源和结构相适应，而非照搬少数世界模式。</w:t>
      </w:r>
    </w:p>
    <w:p>
      <w:pPr>
        <w:pStyle w:val="Heading3"/>
      </w:pPr>
      <w:r>
        <w:t>研究论点</w:t>
      </w:r>
    </w:p>
    <w:p>
      <w:r>
        <w:t>后数字教育在太平洋地区必须通过批判-生态透镜重新定位，以挑战少数世界单一适用叙事，并倡导地方教育主权。</w:t>
      </w:r>
    </w:p>
    <w:p>
      <w:pPr>
        <w:pStyle w:val="Heading3"/>
      </w:pPr>
      <w:r>
        <w:t>研究问题</w:t>
      </w:r>
    </w:p>
    <w:p>
      <w:r>
        <w:t>探究文化相关性、资源限制和合作伙伴关系如何影响斐济城市和农村小学技术增强学习（TEL）的可持续性。</w:t>
      </w:r>
    </w:p>
    <w:p>
      <w:pPr>
        <w:pStyle w:val="Heading3"/>
      </w:pPr>
      <w:r>
        <w:t>研究方法</w:t>
      </w:r>
    </w:p>
    <w:p>
      <w:r>
        <w:t>研究类型：定性案例研究（根据摘要推断）。样本或参与者：斐济一所城市小学和一所农村小学。数据来源：摘要未说明具体数据收集方法。分析方法：应用批判-生态框架（整合批判理论与生态系统理论）进行情境分析，考察权力、文化和结构对技术增强学习的影响。</w:t>
      </w:r>
    </w:p>
    <w:p>
      <w:pPr>
        <w:pStyle w:val="Heading3"/>
      </w:pPr>
      <w:r>
        <w:t>主要发现</w:t>
      </w:r>
    </w:p>
    <w:p>
      <w:r>
        <w:t>1. 少数世界的结构、政策和资金未能考虑太平洋岛国的多样性和文化背景，导致不可持续的教育实践。</w:t>
      </w:r>
    </w:p>
    <w:p>
      <w:r>
        <w:t>2. 批判-生态框架揭示了文化相关性、资源限制和合作伙伴关系如何调节技术使用，强调技术增强学习的具体情境性。</w:t>
      </w:r>
    </w:p>
    <w:p>
      <w:r>
        <w:t>3. 后数字教育应扎根当地，挑战少数世界“一刀切”模式，推进公平、转型和地方教育主权。</w:t>
      </w:r>
    </w:p>
    <w:p>
      <w:pPr>
        <w:pStyle w:val="Heading3"/>
      </w:pPr>
      <w:r>
        <w:t>对教师教育研究的启示</w:t>
      </w:r>
    </w:p>
    <w:p>
      <w:r>
        <w:t>1. 该批判-生态框架为分析教师数字素养培养中的文化、权力与结构因素提供了理论工具，有助于设计适应地方情境的教师教育项目。</w:t>
      </w:r>
    </w:p>
    <w:p>
      <w:r>
        <w:t>2. 研究设计（案例研究）启示教师教育研究可采用多案例比较方法，考察不同学校背景下的技术整合实践。</w:t>
      </w:r>
    </w:p>
    <w:p>
      <w:r>
        <w:t>3. 数据收集需关注当地资源限制、文化相关性与合作伙伴关系等变量，建议采用访谈、观察等质性方法以捕捉深层情境。</w:t>
      </w:r>
    </w:p>
    <w:p>
      <w:pPr>
        <w:pStyle w:val="Heading3"/>
      </w:pPr>
      <w:r>
        <w:t>APA引用格式</w:t>
      </w:r>
    </w:p>
    <w:p>
      <w:r>
        <w:t>Prasad, S. N., Brown, C., MacCallum, K., &amp; Williamson-Leadley, S. (2026). Recentring postdigital education in the Pacific through a critical–ecological lens. Postdigital Science and Education. https://doi.org/10.1007/s42438-026-00678-w</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1</w:t>
            </w:r>
          </w:p>
        </w:tc>
      </w:tr>
      <w:tr>
        <w:tc>
          <w:tcPr>
            <w:tcW w:type="dxa" w:w="4997"/>
          </w:tcPr>
          <w:p>
            <w:r>
              <w:rPr>
                <w:b/>
              </w:rPr>
              <w:t>AI成功数量</w:t>
            </w:r>
          </w:p>
        </w:tc>
        <w:tc>
          <w:tcPr>
            <w:tcW w:type="dxa" w:w="4997"/>
          </w:tcPr>
          <w:p>
            <w:r>
              <w:t>1</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26.03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42438-026-00678-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