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5496"/>
          <w:sz w:val="44"/>
        </w:rPr>
        <w:t>每日SSCI文献简报｜2026-07-12</w:t>
      </w:r>
    </w:p>
    <w:p>
      <w:pPr>
        <w:jc w:val="center"/>
      </w:pPr>
      <w:r>
        <w:rPr>
          <w:color w:val="596882"/>
          <w:sz w:val="22"/>
        </w:rPr>
        <w:t>学前与基础教育 · AI教学应用 · 教师数字/智能/数据素养 · 教师教育</w:t>
      </w:r>
    </w:p>
    <w:p>
      <w:pPr>
        <w:ind w:left="230" w:right="230"/>
      </w:pPr>
      <w:r>
        <w:rPr>
          <w:i/>
          <w:color w:val="596882"/>
        </w:rPr>
        <w:t>本期采用混合推荐策略：2篇近三年内最新候选文献 + 3篇近三年内AI教学相关度最高文献；已排除历史重复推荐。</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生成时间</w:t>
            </w:r>
          </w:p>
        </w:tc>
        <w:tc>
          <w:tcPr>
            <w:tcW w:type="dxa" w:w="4997"/>
          </w:tcPr>
          <w:p>
            <w:r>
              <w:t>2026-07-12 09:29:35（北京时间）</w:t>
            </w:r>
          </w:p>
        </w:tc>
      </w:tr>
      <w:tr>
        <w:tc>
          <w:tcPr>
            <w:tcW w:type="dxa" w:w="4997"/>
          </w:tcPr>
          <w:p>
            <w:r>
              <w:rPr>
                <w:b/>
              </w:rPr>
              <w:t>检索窗口</w:t>
            </w:r>
          </w:p>
        </w:tc>
        <w:tc>
          <w:tcPr>
            <w:tcW w:type="dxa" w:w="4997"/>
          </w:tcPr>
          <w:p>
            <w:r>
              <w:t>2023-07-13 — 2026-07-12</w:t>
            </w:r>
          </w:p>
        </w:tc>
      </w:tr>
      <w:tr>
        <w:tc>
          <w:tcPr>
            <w:tcW w:type="dxa" w:w="4997"/>
          </w:tcPr>
          <w:p>
            <w:r>
              <w:rPr>
                <w:b/>
              </w:rPr>
              <w:t>检索与筛选</w:t>
            </w:r>
          </w:p>
        </w:tc>
        <w:tc>
          <w:tcPr>
            <w:tcW w:type="dxa" w:w="4997"/>
          </w:tcPr>
          <w:p>
            <w:r>
              <w:t>检索 750 篇；筛选 5 篇；AI成功 5 篇</w:t>
            </w:r>
          </w:p>
        </w:tc>
      </w:tr>
      <w:tr>
        <w:tc>
          <w:tcPr>
            <w:tcW w:type="dxa" w:w="4997"/>
          </w:tcPr>
          <w:p>
            <w:r>
              <w:rPr>
                <w:b/>
              </w:rPr>
              <w:t>本地文件</w:t>
            </w:r>
          </w:p>
        </w:tc>
        <w:tc>
          <w:tcPr>
            <w:tcW w:type="dxa" w:w="4997"/>
          </w:tcPr>
          <w:p>
            <w:r>
              <w:t>Markdown 与 Word 文档已保存至 docs/ 目录</w:t>
            </w:r>
          </w:p>
        </w:tc>
      </w:tr>
    </w:tbl>
    <w:p/>
    <w:p>
      <w:pPr>
        <w:pStyle w:val="Heading1"/>
      </w:pPr>
      <w:r>
        <w:t>一、今日研究亮点总结</w:t>
      </w:r>
    </w:p>
    <w:p>
      <w:pPr>
        <w:ind w:left="230" w:right="230"/>
      </w:pPr>
      <w:r>
        <w:rPr>
          <w:i/>
          <w:color w:val="596882"/>
        </w:rPr>
        <w:t>今日文献亮点：AI整合教学与安全风险成为焦点，涵盖EFL深度学习、教师GenAI能动性及LLM提示注入攻击；LdL教学法呈现去中心化全球网络，中国为接受国之一，本土化趋势凸显。</w:t>
      </w:r>
    </w:p>
    <w:p>
      <w:pPr>
        <w:pStyle w:val="Heading1"/>
      </w:pPr>
      <w:r>
        <w:t>目录</w:t>
      </w:r>
    </w:p>
    <w:p>
      <w:pPr>
        <w:pStyle w:val="ListNumber"/>
      </w:pPr>
      <w:r>
        <w:rPr>
          <w:b/>
        </w:rPr>
        <w:t>通过教学学习（LdL）的国际存在：基于来源的1980–2026年研究、实践和制度锚定映射</w:t>
      </w:r>
      <w:r>
        <w:t>｜Zenodo (CERN European Organization for Nuclear Research)｜2026-07-10</w:t>
      </w:r>
    </w:p>
    <w:p>
      <w:pPr>
        <w:pStyle w:val="ListNumber"/>
      </w:pPr>
      <w:r>
        <w:rPr>
          <w:b/>
        </w:rPr>
        <w:t>教学相长（LdL）的国际存在：基于文献来源的研究、实践与制度锚定图谱（1980–2026）</w:t>
      </w:r>
      <w:r>
        <w:t>｜Zenodo (CERN European Organization for Nuclear Research)｜2026-07-10</w:t>
      </w:r>
    </w:p>
    <w:p>
      <w:pPr>
        <w:pStyle w:val="ListNumber"/>
      </w:pPr>
      <w:r>
        <w:rPr>
          <w:b/>
        </w:rPr>
        <w:t>技术整合促进英语作为外语语境下的深度学习</w:t>
      </w:r>
      <w:r>
        <w:t>｜Script Journal: Journal of Linguistics and English Teaching｜2026-07-11</w:t>
      </w:r>
    </w:p>
    <w:p>
      <w:pPr>
        <w:pStyle w:val="ListNumber"/>
      </w:pPr>
      <w:r>
        <w:rPr>
          <w:b/>
        </w:rPr>
        <w:t>适应还是变革？探索地区英语教师教育者在将生成式AI融入专业实践中的能动性</w:t>
      </w:r>
      <w:r>
        <w:t>｜Teachers and Teaching｜2026-07-11</w:t>
      </w:r>
    </w:p>
    <w:p>
      <w:pPr>
        <w:pStyle w:val="ListNumber"/>
      </w:pPr>
      <w:r>
        <w:rPr>
          <w:b/>
        </w:rPr>
        <w:t>利用大型语言模型进行同行评审：间接提示注入攻击与完整性探测</w:t>
      </w:r>
      <w:r>
        <w:t>｜Scientometrics｜2026-07-11</w:t>
      </w:r>
    </w:p>
    <w:p>
      <w:pPr>
        <w:sectPr>
          <w:pgSz w:w="12240" w:h="15840"/>
          <w:pgMar w:top="1037" w:right="1123" w:bottom="1037" w:left="1123" w:header="720" w:footer="720" w:gutter="0"/>
          <w:cols w:space="720"/>
          <w:docGrid w:linePitch="360"/>
        </w:sectPr>
      </w:pPr>
    </w:p>
    <w:p>
      <w:pPr>
        <w:pStyle w:val="Heading1"/>
      </w:pPr>
      <w:r>
        <w:t>二、文献摘要</w:t>
      </w:r>
    </w:p>
    <w:p>
      <w:pPr>
        <w:pStyle w:val="Heading2"/>
      </w:pPr>
      <w:r>
        <w:t>1. The International Presence of Learning by Teaching (LdL): A Source-Based Mapping of Research, Practice, and Institutional Anchoring, 1980–2026 / 通过教学学习（LdL）的国际存在：基于来源的1980–2026年研究、实践和制度锚定映射</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International Presence of Learning by Teaching (LdL): A Source-Based Mapping of Research, Practice, and Institutional Anchoring, 1980–2026 / 通过教学学习（LdL）的国际存在：基于来源的1980–2026年研究、实践和制度锚定映射</w:t>
            </w:r>
          </w:p>
        </w:tc>
      </w:tr>
      <w:tr>
        <w:tc>
          <w:tcPr>
            <w:tcW w:type="dxa" w:w="4997"/>
          </w:tcPr>
          <w:p>
            <w:r>
              <w:rPr>
                <w:b/>
              </w:rPr>
              <w:t>作者</w:t>
            </w:r>
          </w:p>
        </w:tc>
        <w:tc>
          <w:tcPr>
            <w:tcW w:type="dxa" w:w="4997"/>
          </w:tcPr>
          <w:p>
            <w:r>
              <w:t>Jean-Pol Martin, ChatGPT</w:t>
            </w:r>
          </w:p>
        </w:tc>
      </w:tr>
      <w:tr>
        <w:tc>
          <w:tcPr>
            <w:tcW w:type="dxa" w:w="4997"/>
          </w:tcPr>
          <w:p>
            <w:r>
              <w:rPr>
                <w:b/>
              </w:rPr>
              <w:t>期刊及影响因子</w:t>
            </w:r>
          </w:p>
        </w:tc>
        <w:tc>
          <w:tcPr>
            <w:tcW w:type="dxa" w:w="4997"/>
          </w:tcPr>
          <w:p>
            <w:r>
              <w:t>白名单未提供影响因子，白名单未提供JCR分区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无卷期信息, DOI: 10.5281/zenodo.21295850</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9">
              <w:r>
                <w:rPr>
                  <w:color w:val="0563C1"/>
                  <w:u w:val="single"/>
                </w:rPr>
                <w:t>https://doi.org/10.5281/zenodo.21295850</w:t>
              </w:r>
            </w:hyperlink>
          </w:p>
        </w:tc>
      </w:tr>
    </w:tbl>
    <w:p>
      <w:pPr>
        <w:pStyle w:val="Heading3"/>
      </w:pPr>
      <w:r>
        <w:t>研究摘要</w:t>
      </w:r>
    </w:p>
    <w:p>
      <w:r>
        <w:t>本工作论文提供了1980至2026年间“通过教学学习”（Lernen durch Lehren, LdL）国际存在的基于来源的映射。由Jean-Pol Martin在20世纪80年代初开发，LdL已在学术出版物、教师教育、课堂实践、机构项目和国际网络中得到记录。研究不试图量化全球使用LdL的教师或学习者总数，因为没有中央统计数据或全面的国际调查；而是系统区分可验证证据、上下文指示和研究空白。德国和巴伐利亚是记录最充分的起源和巩固地区，日本是主要的东亚中心，并在法国、波兰、捷克共和国、罗马尼亚、摩尔多瓦、意大利、西班牙、中国、印度尼西亚和阿尔及利亚发现进一步的接受和应用形式。核心发现是LdL的国际发展不应理解为统一的或中央管理的扩张，而是长期的去中心化网络。论文贡献了对LdL国际可见性的透明记录，同时明确指出了现有证据的局限性。</w:t>
      </w:r>
    </w:p>
    <w:p>
      <w:pPr>
        <w:pStyle w:val="Heading3"/>
      </w:pPr>
      <w:r>
        <w:t>研究主要内容</w:t>
      </w:r>
    </w:p>
    <w:p>
      <w:r>
        <w:t>该论文通过系统收集和梳理1980-2026年间涉及LdL的学术出版物、教师教育项目、课堂实践案例及国际网络记录，构建了该教学方法的全球传播图景。研究采用来源映射方法，重点区分可验证的证据与假设，识别出德国（特别是巴伐利亚）为起源与巩固核心、日本为东亚主要枢纽，并在欧洲、亚洲及非洲多个国家发现应用踪迹。最终将LdL的国际化过程解释为去中心化、基于个体的网络扩散，而非统一管理的扩张模式。</w:t>
      </w:r>
    </w:p>
    <w:p>
      <w:pPr>
        <w:pStyle w:val="Heading3"/>
      </w:pPr>
      <w:r>
        <w:t>研究论点</w:t>
      </w:r>
    </w:p>
    <w:p>
      <w:r>
        <w:t>LdL的国际发展不应被理解为统一的或中央管理的扩张，而是一个长期的、去中心化的网络过程，由个体、出版物、大学、教师培训结构、学校项目和地方倡议共同推动。</w:t>
      </w:r>
    </w:p>
    <w:p>
      <w:pPr>
        <w:pStyle w:val="Heading3"/>
      </w:pPr>
      <w:r>
        <w:t>研究问题</w:t>
      </w:r>
    </w:p>
    <w:p>
      <w:r>
        <w:t>如何系统映射“通过教学学习”（LdL）在1980-2026年间的国际存在，并明确区分可验证证据、上下文指示与研究空白？</w:t>
      </w:r>
    </w:p>
    <w:p>
      <w:pPr>
        <w:pStyle w:val="Heading3"/>
      </w:pPr>
      <w:r>
        <w:t>研究方法</w:t>
      </w:r>
    </w:p>
    <w:p>
      <w:r>
        <w:t>研究类型为定性文献映射/综述；未明确说明样本或参与者（基于可获得的公开文献和档案）；数据来源包括学术出版物、教师教育资料、课堂实践记录、机构项目文件及国际网络信息；分析方法为系统梳理与证据分层（区分可验证证据、上下文指示和研究空白），但摘要未详细说明具体的编码或分析步骤。</w:t>
      </w:r>
    </w:p>
    <w:p>
      <w:pPr>
        <w:pStyle w:val="Heading3"/>
      </w:pPr>
      <w:r>
        <w:t>主要发现</w:t>
      </w:r>
    </w:p>
    <w:p>
      <w:r>
        <w:t>['德国（尤其是巴伐利亚）是LdL起源和巩固的记录最充分区域，拥有最多的学术文献和制度支撑。', '日本是东亚地区主要的LdL接受与应用中心，此外在法国、波兰、捷克、罗马尼亚、摩尔多瓦、意大利、西班牙、中国、印度尼西亚和阿尔及利亚也确认了多样化的实践形式。', 'LdL的国际传播呈现出清晰的去中心化网络特征——并非由单一机构或政策推动，而是依赖于个体教师、研究者、大学与培训项目的分散连接。']</w:t>
      </w:r>
    </w:p>
    <w:p>
      <w:pPr>
        <w:pStyle w:val="Heading3"/>
      </w:pPr>
      <w:r>
        <w:t>对教师教育研究的启示</w:t>
      </w:r>
    </w:p>
    <w:p>
      <w:r>
        <w:t>本研究展示了如何通过来源映射方法系统性追踪一种教学方法的国际传播轨迹，为教师教育研究者提供了跨国比较与档案分析的方法参考。其强调证据分层（区分可验证事实与假设）的策略可应用于评估其他教学创新（如AI教学工具）的落地情况。此外，研究突出教师个体与培训网络在方法扩散中的关键作用，启示未来研究应关注教师教育机构如何通过非正式网络促进教学方法的制度化。</w:t>
      </w:r>
    </w:p>
    <w:p>
      <w:pPr>
        <w:pStyle w:val="Heading3"/>
      </w:pPr>
      <w:r>
        <w:t>APA引用格式</w:t>
      </w:r>
    </w:p>
    <w:p>
      <w:r>
        <w:t>Martin, J.-P., &amp; ChatGPT. (2026). The International Presence of Learning by Teaching (LdL): A Source-Based Mapping of Research, Practice, and Institutional Anchoring, 1980–2026. Zenodo. https://doi.org/10.5281/zenodo.21295850</w:t>
      </w:r>
    </w:p>
    <w:p>
      <w:r>
        <w:br w:type="page"/>
      </w:r>
    </w:p>
    <w:p>
      <w:pPr>
        <w:pStyle w:val="Heading2"/>
      </w:pPr>
      <w:r>
        <w:t>2. The International Presence of Learning by Teaching (LdL): A Source-Based Mapping of Research, Practice, and Institutional Anchoring, 1980–2026 / 教学相长（LdL）的国际存在：基于文献来源的研究、实践与制度锚定图谱（1980–2026）</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The International Presence of Learning by Teaching (LdL): A Source-Based Mapping of Research, Practice, and Institutional Anchoring, 1980–2026 / 教学相长（LdL）的国际存在：基于文献来源的研究、实践与制度锚定图谱（1980–2026）</w:t>
            </w:r>
          </w:p>
        </w:tc>
      </w:tr>
      <w:tr>
        <w:tc>
          <w:tcPr>
            <w:tcW w:type="dxa" w:w="4997"/>
          </w:tcPr>
          <w:p>
            <w:r>
              <w:rPr>
                <w:b/>
              </w:rPr>
              <w:t>作者</w:t>
            </w:r>
          </w:p>
        </w:tc>
        <w:tc>
          <w:tcPr>
            <w:tcW w:type="dxa" w:w="4997"/>
          </w:tcPr>
          <w:p>
            <w:r>
              <w:t>Jean-Pol Martin, ChatGPT</w:t>
            </w:r>
          </w:p>
        </w:tc>
      </w:tr>
      <w:tr>
        <w:tc>
          <w:tcPr>
            <w:tcW w:type="dxa" w:w="4997"/>
          </w:tcPr>
          <w:p>
            <w:r>
              <w:rPr>
                <w:b/>
              </w:rPr>
              <w:t>期刊及影响因子</w:t>
            </w:r>
          </w:p>
        </w:tc>
        <w:tc>
          <w:tcPr>
            <w:tcW w:type="dxa" w:w="4997"/>
          </w:tcPr>
          <w:p>
            <w:r>
              <w:t>影响因子：未提供 / JCR分区：未提供</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SAGE PUBLICATIONS LTD</w:t>
            </w:r>
          </w:p>
        </w:tc>
      </w:tr>
      <w:tr>
        <w:tc>
          <w:tcPr>
            <w:tcW w:type="dxa" w:w="4997"/>
          </w:tcPr>
          <w:p>
            <w:r>
              <w:rPr>
                <w:b/>
              </w:rPr>
              <w:t>卷期/DOI</w:t>
            </w:r>
          </w:p>
        </w:tc>
        <w:tc>
          <w:tcPr>
            <w:tcW w:type="dxa" w:w="4997"/>
          </w:tcPr>
          <w:p>
            <w:r>
              <w:t>Zenodo, 2026, DOI: 10.5281/zenodo.21295851</w:t>
            </w:r>
          </w:p>
        </w:tc>
      </w:tr>
      <w:tr>
        <w:tc>
          <w:tcPr>
            <w:tcW w:type="dxa" w:w="4997"/>
          </w:tcPr>
          <w:p>
            <w:r>
              <w:rPr>
                <w:b/>
              </w:rPr>
              <w:t>在线发表时间</w:t>
            </w:r>
          </w:p>
        </w:tc>
        <w:tc>
          <w:tcPr>
            <w:tcW w:type="dxa" w:w="4997"/>
          </w:tcPr>
          <w:p>
            <w:r>
              <w:t>2026-07-10</w:t>
            </w:r>
          </w:p>
        </w:tc>
      </w:tr>
      <w:tr>
        <w:tc>
          <w:tcPr>
            <w:tcW w:type="dxa" w:w="4997"/>
          </w:tcPr>
          <w:p>
            <w:r>
              <w:rPr>
                <w:b/>
              </w:rPr>
              <w:t>SSCI分类</w:t>
            </w:r>
          </w:p>
        </w:tc>
        <w:tc>
          <w:tcPr>
            <w:tcW w:type="dxa" w:w="4997"/>
          </w:tcPr>
          <w:p>
            <w:r>
              <w:t>Management</w:t>
            </w:r>
          </w:p>
        </w:tc>
      </w:tr>
      <w:tr>
        <w:tc>
          <w:tcPr>
            <w:tcW w:type="dxa" w:w="4997"/>
          </w:tcPr>
          <w:p>
            <w:r>
              <w:rPr>
                <w:b/>
              </w:rPr>
              <w:t>论文链接</w:t>
            </w:r>
          </w:p>
        </w:tc>
        <w:tc>
          <w:tcPr>
            <w:tcW w:type="dxa" w:w="4997"/>
          </w:tcPr>
          <w:p>
            <w:hyperlink r:id="rId10">
              <w:r>
                <w:rPr>
                  <w:color w:val="0563C1"/>
                  <w:u w:val="single"/>
                </w:rPr>
                <w:t>https://doi.org/10.5281/zenodo.21295851</w:t>
              </w:r>
            </w:hyperlink>
          </w:p>
        </w:tc>
      </w:tr>
    </w:tbl>
    <w:p>
      <w:pPr>
        <w:pStyle w:val="Heading3"/>
      </w:pPr>
      <w:r>
        <w:t>研究摘要</w:t>
      </w:r>
    </w:p>
    <w:p>
      <w:r>
        <w:t>本工作论文提供了基于文献来源的教学相长（Learning by Teaching, LdL）在国际上从1980年至2026年的存在图谱。由Jean-Pol Martin在20世纪80年代初发展的LdL已在学术出版物、教师教育、课堂实践、机构项目和国际网络中得到记录。本研究并未尝试量化全球使用LdL的教师或学习者总数，因为没有可用的中央统计或全面国际调查。相反，它系统地区分了可验证证据、背景提示和研究空白。德国和巴伐利亚作为有据可查的起源和巩固地区出现。日本代表了东亚的主要中心，同时在法国、波兰、捷克共和国、罗马尼亚、摩尔多瓦、意大利、西班牙、中国、印度尼西亚和阿尔及利亚也发现了进一步有记录的接收和应用形式。核心发现是，LdL的国际发展不应被理解为统一的或中央管理的扩展。相反，它表现为一个长期的、去中心化的个人、出版物、大学、教师教育结构、学校项目和地方倡议网络。本文为LdL的国际可见性提供了透明的记录，同时明确指出了可用证据的局限性。因此，它为未来关于教学相长的接收、转化和制度化的研究提供了可靠的基础。原创性贡献：本文汇集了以前分散的证据，并将其组织为系统的国际图谱。其特殊贡献在于将文档化的事件与假设区分开来，并将LdL的传播解释为一个去中心化的、基于网络的过程。在Zenodo系列中的功能：在Jean-Pol Martin的Zenodo语料库中，本文补充了关于LdL、新人权、语义场和人机协作的理论出版物。它通过审视超过四十年的LdL地理和制度痕迹，增加了一个记录性和科学社会学视角。</w:t>
      </w:r>
    </w:p>
    <w:p>
      <w:pPr>
        <w:pStyle w:val="Heading3"/>
      </w:pPr>
      <w:r>
        <w:t>研究主要内容</w:t>
      </w:r>
    </w:p>
    <w:p>
      <w:r>
        <w:t>论文通过系统梳理1980年至2026年间教学相长（LdL）在国际上的研究文献、实践案例和制度锚定，构建了一个基于来源的全球地理与制度存在图谱。内容覆盖学术出版物、教师教育项目、课堂实践、大学课程、学校倡议及国际网络，并明确区分了可验证证据、背景线索与研究空白。重点分析了德国、巴伐利亚、日本、法国、波兰、捷克、罗马尼亚、摩尔多瓦、意大利、西班牙、中国、印度尼西亚和阿尔及利亚的接收与转化形式。</w:t>
      </w:r>
    </w:p>
    <w:p>
      <w:pPr>
        <w:pStyle w:val="Heading3"/>
      </w:pPr>
      <w:r>
        <w:t>研究论点</w:t>
      </w:r>
    </w:p>
    <w:p>
      <w:r>
        <w:t>论文的核心论点：LdL的国际传播并非统一或中央管理的扩张，而是一个长期的、去中心化的、基于个人、机构与网络的多节点扩散过程。研究强调，应基于可验证证据而非假设来理解这种传播，并指出当前国际统计数据的缺失限制了全面量化。</w:t>
      </w:r>
    </w:p>
    <w:p>
      <w:pPr>
        <w:pStyle w:val="Heading3"/>
      </w:pPr>
      <w:r>
        <w:t>研究问题</w:t>
      </w:r>
    </w:p>
    <w:p>
      <w:r>
        <w:t>基于文献来源，教学相长（LdL）在1980年至2026年间在国际上的存在、分布、接收与制度化呈现出怎样的图谱？</w:t>
      </w:r>
    </w:p>
    <w:p>
      <w:pPr>
        <w:pStyle w:val="Heading3"/>
      </w:pPr>
      <w:r>
        <w:t>研究方法</w:t>
      </w:r>
    </w:p>
    <w:p>
      <w:r>
        <w:t>研究类型：定性（文献综述与图谱映射）。样本或参与者：无直接参与者，以1980–2026年间关于LdL的学术出版物、教师教育项目记录、课堂实践案例、机构项目文件和网络信息为分析对象。数据来源：学术数据库、出版物参考文献、教师教育档案、学校项目报告及国际网络资料。分析方法：系统文献综述与来源追踪，进行地域与制度分类，区分可验证证据、背景提示和研究空白。摘要未说明文献检索的具体数据库、筛选标准或编码过程。</w:t>
      </w:r>
    </w:p>
    <w:p>
      <w:pPr>
        <w:pStyle w:val="Heading3"/>
      </w:pPr>
      <w:r>
        <w:t>主要发现</w:t>
      </w:r>
    </w:p>
    <w:p>
      <w:r>
        <w:t>['1. 德国（尤其是巴伐利亚）是LdL有据可查的起源与巩固中心，拥有最多的文献记录与实践案例。', '2. 日本是东亚最主要的接收与应用中心，形成独立的发展脉络；法国、波兰、捷克、罗马尼亚、意大利、西班牙、中国、印度尼西亚和阿尔及利亚也各有不同程度的接收形式。', '3. LdL的国际传播呈现去中心化的网络特征，由个人、大学、教师教育机构、学校项目和地方倡议推动，而非自上而下的统一推广。']</w:t>
      </w:r>
    </w:p>
    <w:p>
      <w:pPr>
        <w:pStyle w:val="Heading3"/>
      </w:pPr>
      <w:r>
        <w:t>对教师教育研究的启示</w:t>
      </w:r>
    </w:p>
    <w:p>
      <w:r>
        <w:t>本研究为教师教育研究提供了以下启示：（1）研究方法上，采用系统文献来源映射的方法可有效追踪教育理念的跨国传播与制度化过程，适合探索非量化、网络化的教育现象；（2）数据收集上，综合学术出版物、项目档案和网络信息有助于构建多源证据链；（3）分析上，通过区分可验证证据与假设，有助于提升教师教育研究中证据使用的严谨性。同时，该研究凸显了教师教育中LdL模式在国际本土化过程中的复杂性，为设计跨文化教师培训课程提供了历史与地理视角。</w:t>
      </w:r>
    </w:p>
    <w:p>
      <w:pPr>
        <w:pStyle w:val="Heading3"/>
      </w:pPr>
      <w:r>
        <w:t>APA引用格式</w:t>
      </w:r>
    </w:p>
    <w:p>
      <w:r>
        <w:t>Martin, J.-P., &amp; ChatGPT. (2026). The International Presence of Learning by Teaching (LdL): A Source-Based Mapping of Research, Practice, and Institutional Anchoring, 1980–2026. Zenodo. https://doi.org/10.5281/zenodo.21295851</w:t>
      </w:r>
    </w:p>
    <w:p>
      <w:r>
        <w:br w:type="page"/>
      </w:r>
    </w:p>
    <w:p>
      <w:pPr>
        <w:pStyle w:val="Heading2"/>
      </w:pPr>
      <w:r>
        <w:t>3. Technology Integration for Promoting Deep Learning in EFL Contexts / 技术整合促进英语作为外语语境下的深度学习</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Technology Integration for Promoting Deep Learning in EFL Contexts / 技术整合促进英语作为外语语境下的深度学习</w:t>
            </w:r>
          </w:p>
        </w:tc>
      </w:tr>
      <w:tr>
        <w:tc>
          <w:tcPr>
            <w:tcW w:type="dxa" w:w="4997"/>
          </w:tcPr>
          <w:p>
            <w:r>
              <w:rPr>
                <w:b/>
              </w:rPr>
              <w:t>作者</w:t>
            </w:r>
          </w:p>
        </w:tc>
        <w:tc>
          <w:tcPr>
            <w:tcW w:type="dxa" w:w="4997"/>
          </w:tcPr>
          <w:p>
            <w:r>
              <w:t>Ramli Ramli, Woro Kusmaryani</w:t>
            </w:r>
          </w:p>
        </w:tc>
      </w:tr>
      <w:tr>
        <w:tc>
          <w:tcPr>
            <w:tcW w:type="dxa" w:w="4997"/>
          </w:tcPr>
          <w:p>
            <w:r>
              <w:rPr>
                <w:b/>
              </w:rPr>
              <w:t>期刊及影响因子</w:t>
            </w:r>
          </w:p>
        </w:tc>
        <w:tc>
          <w:tcPr>
            <w:tcW w:type="dxa" w:w="4997"/>
          </w:tcPr>
          <w:p>
            <w:r>
              <w:t>白名单未提供影响因子 / 白名单未提供JCR分区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CAMBRIDGE UNIV PRESS</w:t>
            </w:r>
          </w:p>
        </w:tc>
      </w:tr>
      <w:tr>
        <w:tc>
          <w:tcPr>
            <w:tcW w:type="dxa" w:w="4997"/>
          </w:tcPr>
          <w:p>
            <w:r>
              <w:rPr>
                <w:b/>
              </w:rPr>
              <w:t>卷期/DOI</w:t>
            </w:r>
          </w:p>
        </w:tc>
        <w:tc>
          <w:tcPr>
            <w:tcW w:type="dxa" w:w="4997"/>
          </w:tcPr>
          <w:p>
            <w:r>
              <w:t>Script Journal: Journal of Linguistics and English Teaching, v11 i2, DOI: 10.24903/sj.v11i2.2370</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Linguistics</w:t>
            </w:r>
          </w:p>
        </w:tc>
      </w:tr>
      <w:tr>
        <w:tc>
          <w:tcPr>
            <w:tcW w:type="dxa" w:w="4997"/>
          </w:tcPr>
          <w:p>
            <w:r>
              <w:rPr>
                <w:b/>
              </w:rPr>
              <w:t>论文链接</w:t>
            </w:r>
          </w:p>
        </w:tc>
        <w:tc>
          <w:tcPr>
            <w:tcW w:type="dxa" w:w="4997"/>
          </w:tcPr>
          <w:p>
            <w:hyperlink r:id="rId11">
              <w:r>
                <w:rPr>
                  <w:color w:val="0563C1"/>
                  <w:u w:val="single"/>
                </w:rPr>
                <w:t>https://doi.org/10.24903/sj.v11i2.2370</w:t>
              </w:r>
            </w:hyperlink>
          </w:p>
        </w:tc>
      </w:tr>
    </w:tbl>
    <w:p>
      <w:pPr>
        <w:pStyle w:val="Heading3"/>
      </w:pPr>
      <w:r>
        <w:t>研究摘要</w:t>
      </w:r>
    </w:p>
    <w:p>
      <w:r>
        <w:t>背景：本研究探讨了一位EFL讲师如何理解作为教学法的深度学习，如何在EFL口语教学中整合数字和AI支持工具，以及在印尼-马来西亚边境地区的课堂中使用这些工具时会出现哪些挑战。方法：本研究采用解释性定性案例研究设计，在印度尼西亚北加里曼丹的博尔内奥塔拉坎大学英语教育系进行。参与者是一位有目的地选择的EFL讲师，他教授口语课程，并已在课堂实践中使用数字和AI支持的应用。数据通过半结构化访谈、四次课堂观察、实地笔记和课堂活动视频记录收集。结果：研究结果表明，技术支持的活动似乎创造了与深度学习相关的课堂条件。学生参与小组讨论、简短写作活动、即兴发言、口头报告以及与旅游、旅行、酒店预订和个人经历等熟悉语境相关的交际任务。讲师使用数字和AI支持的工具，包括Duolingo、Elsa Speak、Cake、Busuu、Blooket、语音转文本工具、QuillBot和Grammarly，以支持词汇学习、发音练习、口语演练、游戏化复习、语言反馈、修改和学习者参与。这些工具扩展了课堂实践，使学习更有意义和愉快。然而，研究结果也表明，技术不会自动创造深度学习。其价值取决于讲师的教学指导以及工具如何与口语任务、反思和交际目的相关联。结论：在这个观察案例中，技术整合似乎支持了EFL口语课堂中的积极参与、情境化语言使用、学习者自主性、反思和积极投入。同时，一些学生倾向于过快依赖AI工具获取现成答案，凸显了教师调解、数字素养和伦理意识的必要性。当技术用于明确的教学目的时，它可以丰富EFL学习，但不应该取代学生自己的思考或教师的教学角色。原创性：本研究提供了来自印尼-马来西亚边境地区高等教育EFL课堂的特定情境证据，展示了一位讲师如何诠释和实施技术整合，以支持口语教学中与深度学习相关的学习条件。</w:t>
      </w:r>
    </w:p>
    <w:p>
      <w:pPr>
        <w:pStyle w:val="Heading3"/>
      </w:pPr>
      <w:r>
        <w:t>研究主要内容</w:t>
      </w:r>
    </w:p>
    <w:p>
      <w:r>
        <w:t>本研究以深度学习为理论基础，探讨在印尼-马来西亚边境地区的高等教育EFL口语课堂中，教师如何理解并运用数字和AI工具，以及这些工具对创造深度学习条件的实际效果和挑战。</w:t>
      </w:r>
    </w:p>
    <w:p>
      <w:pPr>
        <w:pStyle w:val="Heading3"/>
      </w:pPr>
      <w:r>
        <w:t>研究论点</w:t>
      </w:r>
    </w:p>
    <w:p>
      <w:r>
        <w:t>技术整合（包括AI工具）可以支持深度学习的发生，但其效果依赖于教师的教学指导和工具与交际任务的整合，而非技术本身的自动作用；同时，过度依赖AI工具可能削弱学生的独立思考能力，需要教师进行调解和培养数字伦理意识。</w:t>
      </w:r>
    </w:p>
    <w:p>
      <w:pPr>
        <w:pStyle w:val="Heading3"/>
      </w:pPr>
      <w:r>
        <w:t>研究问题</w:t>
      </w:r>
    </w:p>
    <w:p>
      <w:r>
        <w:t>摘要未明确列出研究问题，但根据背景可推断：（1）EFL讲师如何理解作为教学法的深度学习？（2）数字和AI支持的工具如何整合到EFL口语教学中？（3）在印尼-马来西亚边境地区的课堂中使用这些工具时会出现哪些挑战？</w:t>
      </w:r>
    </w:p>
    <w:p>
      <w:pPr>
        <w:pStyle w:val="Heading3"/>
      </w:pPr>
      <w:r>
        <w:t>研究方法</w:t>
      </w:r>
    </w:p>
    <w:p>
      <w:r>
        <w:t>研究类型：定性研究（解释性案例研究）。样本/参与者：一位有目的地选择的EFL讲师，教授口语课程且已使用数字和AI支持的应用。数据来源：半结构化访谈、四次课堂观察、实地笔记、课堂活动视频记录。分析方法：摘要未说明具体的分析技术（如主题分析、内容分析等）。</w:t>
      </w:r>
    </w:p>
    <w:p>
      <w:pPr>
        <w:pStyle w:val="Heading3"/>
      </w:pPr>
      <w:r>
        <w:t>主要发现</w:t>
      </w:r>
    </w:p>
    <w:p>
      <w:r>
        <w:t>1. 技术支持的活动（如小组讨论、口头报告、交际任务等）创造了与深度学习相关的课堂条件，使学生积极参与并与熟悉语境联系。</w:t>
      </w:r>
    </w:p>
    <w:p>
      <w:r>
        <w:t>2. 讲师使用了多种数字和AI支持的工具（Duolingo, Elsa Speak, Cake, Busuu, Blooket, 语音转文本工具, QuillBot, Grammarly）来支持词汇、发音、口语练习、游戏化复习、反馈和参与，使学习更有意义和愉快。</w:t>
      </w:r>
    </w:p>
    <w:p>
      <w:r>
        <w:t>3. 技术不会自动创造深度学习；其价值取决于讲师的教学指导以及工具与口语任务、反思和交际目的的连接。部分学生倾向于过快依赖AI工具获取现成答案，需要教师调解、提升数字素养和伦理意识。</w:t>
      </w:r>
    </w:p>
    <w:p>
      <w:pPr>
        <w:pStyle w:val="Heading3"/>
      </w:pPr>
      <w:r>
        <w:t>对教师教育研究的启示</w:t>
      </w:r>
    </w:p>
    <w:p>
      <w:r>
        <w:t>1. 前沿主题：AI及数字工具在口语教学中的整合并非自动促进深度学习，教师教育应强调技术整合的辩证性——即技术的价值取决于教师的教学设计、引导和对数字伦理的关注。</w:t>
      </w:r>
    </w:p>
    <w:p>
      <w:r>
        <w:t>2. 研究设计：定性案例研究设计适合深入理解教师在特定情境（如边境地区）中整合技术的实际过程与挑战，为教师教育研究者提供了如何通过观察、访谈和视频录制收集多模态数据的范例。</w:t>
      </w:r>
    </w:p>
    <w:p>
      <w:r>
        <w:t>3. 数据收集与分析方法：未来研究可借鉴本研究中半结构化访谈、多次课堂观察、实地笔记和视频记录的组合方式，但需明确分析方法（如主题分析、话语分析等），以增强研究的透明度和可复制性。同时，教师教育研究可关注如何帮助教师培养学生对AI工具的批判性使用能力。</w:t>
      </w:r>
    </w:p>
    <w:p>
      <w:pPr>
        <w:pStyle w:val="Heading3"/>
      </w:pPr>
      <w:r>
        <w:t>APA引用格式</w:t>
      </w:r>
    </w:p>
    <w:p>
      <w:r>
        <w:t>Ramli, R., &amp; Kusmaryani, W. (2026). Technology integration for promoting deep learning in EFL contexts. Script Journal: Journal of Linguistics and English Teaching, 11(2). https://doi.org/10.24903/sj.v11i2.2370</w:t>
      </w:r>
    </w:p>
    <w:p>
      <w:r>
        <w:br w:type="page"/>
      </w:r>
    </w:p>
    <w:p>
      <w:pPr>
        <w:pStyle w:val="Heading2"/>
      </w:pPr>
      <w:r>
        <w:t>4. To adapt or to transform? Exploring district-based English language teacher educators’ agency in integrating GenAI into professional practice / 适应还是变革？探索地区英语教师教育者在将生成式AI融入专业实践中的能动性</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To adapt or to transform? Exploring district-based English language teacher educators’ agency in integrating GenAI into professional practice / 适应还是变革？探索地区英语教师教育者在将生成式AI融入专业实践中的能动性</w:t>
            </w:r>
          </w:p>
        </w:tc>
      </w:tr>
      <w:tr>
        <w:tc>
          <w:tcPr>
            <w:tcW w:type="dxa" w:w="4997"/>
          </w:tcPr>
          <w:p>
            <w:r>
              <w:rPr>
                <w:b/>
              </w:rPr>
              <w:t>作者</w:t>
            </w:r>
          </w:p>
        </w:tc>
        <w:tc>
          <w:tcPr>
            <w:tcW w:type="dxa" w:w="4997"/>
          </w:tcPr>
          <w:p>
            <w:r>
              <w:t>Bo Peng, Yan Zhu</w:t>
            </w:r>
          </w:p>
        </w:tc>
      </w:tr>
      <w:tr>
        <w:tc>
          <w:tcPr>
            <w:tcW w:type="dxa" w:w="4997"/>
          </w:tcPr>
          <w:p>
            <w:r>
              <w:rPr>
                <w:b/>
              </w:rPr>
              <w:t>期刊及影响因子</w:t>
            </w:r>
          </w:p>
        </w:tc>
        <w:tc>
          <w:tcPr>
            <w:tcW w:type="dxa" w:w="4997"/>
          </w:tcPr>
          <w:p>
            <w:r>
              <w:t>未提供影响因子 / 未提供JCR分区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1470-1278</w:t>
            </w:r>
          </w:p>
        </w:tc>
      </w:tr>
      <w:tr>
        <w:tc>
          <w:tcPr>
            <w:tcW w:type="dxa" w:w="4997"/>
          </w:tcPr>
          <w:p>
            <w:r>
              <w:rPr>
                <w:b/>
              </w:rPr>
              <w:t>卷期/DOI</w:t>
            </w:r>
          </w:p>
        </w:tc>
        <w:tc>
          <w:tcPr>
            <w:tcW w:type="dxa" w:w="4997"/>
          </w:tcPr>
          <w:p>
            <w:r>
              <w:t>DOI: 10.1080/13540602.2026.2700749</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Education &amp; Educational Research；English</w:t>
            </w:r>
          </w:p>
        </w:tc>
      </w:tr>
      <w:tr>
        <w:tc>
          <w:tcPr>
            <w:tcW w:type="dxa" w:w="4997"/>
          </w:tcPr>
          <w:p>
            <w:r>
              <w:rPr>
                <w:b/>
              </w:rPr>
              <w:t>论文链接</w:t>
            </w:r>
          </w:p>
        </w:tc>
        <w:tc>
          <w:tcPr>
            <w:tcW w:type="dxa" w:w="4997"/>
          </w:tcPr>
          <w:p>
            <w:hyperlink r:id="rId12">
              <w:r>
                <w:rPr>
                  <w:color w:val="0563C1"/>
                  <w:u w:val="single"/>
                </w:rPr>
                <w:t>https://doi.org/10.1080/13540602.2026.2700749</w:t>
              </w:r>
            </w:hyperlink>
          </w:p>
        </w:tc>
      </w:tr>
    </w:tbl>
    <w:p>
      <w:pPr>
        <w:pStyle w:val="Heading3"/>
      </w:pPr>
      <w:r>
        <w:t>研究摘要</w:t>
      </w:r>
    </w:p>
    <w:p>
      <w:r>
        <w:t>摘要未提供</w:t>
      </w:r>
    </w:p>
    <w:p>
      <w:pPr>
        <w:pStyle w:val="Heading3"/>
      </w:pPr>
      <w:r>
        <w:t>研究主要内容</w:t>
      </w:r>
    </w:p>
    <w:p>
      <w:r>
        <w:t>摘要未说明</w:t>
      </w:r>
    </w:p>
    <w:p>
      <w:pPr>
        <w:pStyle w:val="Heading3"/>
      </w:pPr>
      <w:r>
        <w:t>研究论点</w:t>
      </w:r>
    </w:p>
    <w:p>
      <w:r>
        <w:t>摘要未说明</w:t>
      </w:r>
    </w:p>
    <w:p>
      <w:pPr>
        <w:pStyle w:val="Heading3"/>
      </w:pPr>
      <w:r>
        <w:t>研究问题</w:t>
      </w:r>
    </w:p>
    <w:p>
      <w:r>
        <w:t>摘要未说明</w:t>
      </w:r>
    </w:p>
    <w:p>
      <w:pPr>
        <w:pStyle w:val="Heading3"/>
      </w:pPr>
      <w:r>
        <w:t>研究方法</w:t>
      </w:r>
    </w:p>
    <w:p>
      <w:r>
        <w:t>摘要未说明（无研究设计、样本、数据来源、分析方法信息）</w:t>
      </w:r>
    </w:p>
    <w:p>
      <w:pPr>
        <w:pStyle w:val="Heading3"/>
      </w:pPr>
      <w:r>
        <w:t>主要发现</w:t>
      </w:r>
    </w:p>
    <w:p>
      <w:r>
        <w:t>摘要未说明</w:t>
      </w:r>
    </w:p>
    <w:p>
      <w:pPr>
        <w:pStyle w:val="Heading3"/>
      </w:pPr>
      <w:r>
        <w:t>对教师教育研究的启示</w:t>
      </w:r>
    </w:p>
    <w:p>
      <w:r>
        <w:t>摘要未说明</w:t>
      </w:r>
    </w:p>
    <w:p>
      <w:pPr>
        <w:pStyle w:val="Heading3"/>
      </w:pPr>
      <w:r>
        <w:t>APA引用格式</w:t>
      </w:r>
    </w:p>
    <w:p>
      <w:r>
        <w:t>Peng, B., &amp; Zhu, Y. (2026). To adapt or to transform? Exploring district-based English language teacher educators’ agency in integrating GenAI into professional practice. Teachers and Teaching. https://doi.org/10.1080/13540602.2026.2700749</w:t>
      </w:r>
    </w:p>
    <w:p>
      <w:r>
        <w:br w:type="page"/>
      </w:r>
    </w:p>
    <w:p>
      <w:pPr>
        <w:pStyle w:val="Heading2"/>
      </w:pPr>
      <w:r>
        <w:t>5. Exploiting large language models in peer review: indirect prompt injection attacks and integrity probes / 利用大型语言模型进行同行评审：间接提示注入攻击与完整性探测</w:t>
      </w:r>
    </w:p>
    <w:tbl>
      <w:tblPr>
        <w:tblStyle w:val="LightList-Accent1"/>
        <w:tblW w:type="auto" w:w="0"/>
        <w:tblLook w:firstColumn="1" w:firstRow="1" w:lastColumn="0" w:lastRow="0" w:noHBand="0" w:noVBand="1" w:val="04A0"/>
      </w:tblPr>
      <w:tblGrid>
        <w:gridCol w:w="4997"/>
        <w:gridCol w:w="4997"/>
      </w:tblGrid>
      <w:tr>
        <w:tc>
          <w:tcPr>
            <w:tcW w:type="dxa" w:w="4997"/>
          </w:tcPr>
          <w:p>
            <w:r>
              <w:rPr>
                <w:b/>
              </w:rPr>
              <w:t>标题</w:t>
            </w:r>
          </w:p>
        </w:tc>
        <w:tc>
          <w:tcPr>
            <w:tcW w:type="dxa" w:w="4997"/>
          </w:tcPr>
          <w:p>
            <w:r>
              <w:t>Exploiting large language models in peer review: indirect prompt injection attacks and integrity probes / 利用大型语言模型进行同行评审：间接提示注入攻击与完整性探测</w:t>
            </w:r>
          </w:p>
        </w:tc>
      </w:tr>
      <w:tr>
        <w:tc>
          <w:tcPr>
            <w:tcW w:type="dxa" w:w="4997"/>
          </w:tcPr>
          <w:p>
            <w:r>
              <w:rPr>
                <w:b/>
              </w:rPr>
              <w:t>作者</w:t>
            </w:r>
          </w:p>
        </w:tc>
        <w:tc>
          <w:tcPr>
            <w:tcW w:type="dxa" w:w="4997"/>
          </w:tcPr>
          <w:p>
            <w:r>
              <w:t>Federico Torrielli, Stefano Locci, Amon Rapp, Luigi Di Caro</w:t>
            </w:r>
          </w:p>
        </w:tc>
      </w:tr>
      <w:tr>
        <w:tc>
          <w:tcPr>
            <w:tcW w:type="dxa" w:w="4997"/>
          </w:tcPr>
          <w:p>
            <w:r>
              <w:rPr>
                <w:b/>
              </w:rPr>
              <w:t>期刊及影响因子</w:t>
            </w:r>
          </w:p>
        </w:tc>
        <w:tc>
          <w:tcPr>
            <w:tcW w:type="dxa" w:w="4997"/>
          </w:tcPr>
          <w:p>
            <w:r>
              <w:t>未提供影响因子和JCR分区</w:t>
            </w:r>
          </w:p>
        </w:tc>
      </w:tr>
      <w:tr>
        <w:tc>
          <w:tcPr>
            <w:tcW w:type="dxa" w:w="4997"/>
          </w:tcPr>
          <w:p>
            <w:r>
              <w:rPr>
                <w:b/>
              </w:rPr>
              <w:t>JIF/影响因子</w:t>
            </w:r>
          </w:p>
        </w:tc>
        <w:tc>
          <w:tcPr>
            <w:tcW w:type="dxa" w:w="4997"/>
          </w:tcPr>
          <w:p>
            <w:r>
              <w:t>白名单未提供</w:t>
            </w:r>
          </w:p>
        </w:tc>
      </w:tr>
      <w:tr>
        <w:tc>
          <w:tcPr>
            <w:tcW w:type="dxa" w:w="4997"/>
          </w:tcPr>
          <w:p>
            <w:r>
              <w:rPr>
                <w:b/>
              </w:rPr>
              <w:t>JCR分区</w:t>
            </w:r>
          </w:p>
        </w:tc>
        <w:tc>
          <w:tcPr>
            <w:tcW w:type="dxa" w:w="4997"/>
          </w:tcPr>
          <w:p>
            <w:r>
              <w:t>白名单未提供</w:t>
            </w:r>
          </w:p>
        </w:tc>
      </w:tr>
      <w:tr>
        <w:tc>
          <w:tcPr>
            <w:tcW w:type="dxa" w:w="4997"/>
          </w:tcPr>
          <w:p>
            <w:r>
              <w:rPr>
                <w:b/>
              </w:rPr>
              <w:t>CiteScore</w:t>
            </w:r>
          </w:p>
        </w:tc>
        <w:tc>
          <w:tcPr>
            <w:tcW w:type="dxa" w:w="4997"/>
          </w:tcPr>
          <w:p>
            <w:r>
              <w:t>白名单未提供</w:t>
            </w:r>
          </w:p>
        </w:tc>
      </w:tr>
      <w:tr>
        <w:tc>
          <w:tcPr>
            <w:tcW w:type="dxa" w:w="4997"/>
          </w:tcPr>
          <w:p>
            <w:r>
              <w:rPr>
                <w:b/>
              </w:rPr>
              <w:t>出版社</w:t>
            </w:r>
          </w:p>
        </w:tc>
        <w:tc>
          <w:tcPr>
            <w:tcW w:type="dxa" w:w="4997"/>
          </w:tcPr>
          <w:p>
            <w:r>
              <w:t>SPRINGER</w:t>
            </w:r>
          </w:p>
        </w:tc>
      </w:tr>
      <w:tr>
        <w:tc>
          <w:tcPr>
            <w:tcW w:type="dxa" w:w="4997"/>
          </w:tcPr>
          <w:p>
            <w:r>
              <w:rPr>
                <w:b/>
              </w:rPr>
              <w:t>卷期/DOI</w:t>
            </w:r>
          </w:p>
        </w:tc>
        <w:tc>
          <w:tcPr>
            <w:tcW w:type="dxa" w:w="4997"/>
          </w:tcPr>
          <w:p>
            <w:r>
              <w:t>DOI: 10.1007/s11192-026-05695-x</w:t>
            </w:r>
          </w:p>
        </w:tc>
      </w:tr>
      <w:tr>
        <w:tc>
          <w:tcPr>
            <w:tcW w:type="dxa" w:w="4997"/>
          </w:tcPr>
          <w:p>
            <w:r>
              <w:rPr>
                <w:b/>
              </w:rPr>
              <w:t>在线发表时间</w:t>
            </w:r>
          </w:p>
        </w:tc>
        <w:tc>
          <w:tcPr>
            <w:tcW w:type="dxa" w:w="4997"/>
          </w:tcPr>
          <w:p>
            <w:r>
              <w:t>2026-07-11</w:t>
            </w:r>
          </w:p>
        </w:tc>
      </w:tr>
      <w:tr>
        <w:tc>
          <w:tcPr>
            <w:tcW w:type="dxa" w:w="4997"/>
          </w:tcPr>
          <w:p>
            <w:r>
              <w:rPr>
                <w:b/>
              </w:rPr>
              <w:t>SSCI分类</w:t>
            </w:r>
          </w:p>
        </w:tc>
        <w:tc>
          <w:tcPr>
            <w:tcW w:type="dxa" w:w="4997"/>
          </w:tcPr>
          <w:p>
            <w:r>
              <w:t>English；Information Science &amp; Library Science</w:t>
            </w:r>
          </w:p>
        </w:tc>
      </w:tr>
      <w:tr>
        <w:tc>
          <w:tcPr>
            <w:tcW w:type="dxa" w:w="4997"/>
          </w:tcPr>
          <w:p>
            <w:r>
              <w:rPr>
                <w:b/>
              </w:rPr>
              <w:t>论文链接</w:t>
            </w:r>
          </w:p>
        </w:tc>
        <w:tc>
          <w:tcPr>
            <w:tcW w:type="dxa" w:w="4997"/>
          </w:tcPr>
          <w:p>
            <w:hyperlink r:id="rId13">
              <w:r>
                <w:rPr>
                  <w:color w:val="0563C1"/>
                  <w:u w:val="single"/>
                </w:rPr>
                <w:t>https://doi.org/10.1007/s11192-026-05695-x</w:t>
              </w:r>
            </w:hyperlink>
          </w:p>
        </w:tc>
      </w:tr>
    </w:tbl>
    <w:p>
      <w:pPr>
        <w:pStyle w:val="Heading3"/>
      </w:pPr>
      <w:r>
        <w:t>研究摘要</w:t>
      </w:r>
    </w:p>
    <w:p>
      <w:r>
        <w:t>大型语言模型开始作为总结手稿、起草评估和减少审稿人工作量的工具进入同行评审领域。然而，这种使用创造了一个特定于评估环境的安全问题：被评审的手稿可能包含影响模型判断的隐藏指令。我们通过间接提示注入来探究这一风险，即手稿中的隐藏文本在生成评审时被公共聊天机器人当作良性提示进行处理。我们引入了一个作者-审稿人-组织者框架，区分作者方的操纵和组织方的完整性检查，并利用该框架评估了将评审导向正面或负面判断的攻击载荷，以及触发拒绝、加水印或重定向到外部网站的完整性探测载荷。其中，重定向载荷是作为新型完整性检查机制引入的。在基于100篇OpenReview论文、两个公共聊天机器人系统、五个载荷家族、两种自定义提示方法、三种注入位置以及每种条件下五次重复运行的实验中，我们生成了42000个模型输出。隐藏指令非常有效：在两个系统上，正面引导、拒绝和外部重定向的成功率均超过98%；水印效果较好但可靠性略低，在ChatGPT上达到94.27%，在Gemini上达到88.17%；负面引导在ChatGPT上近乎完美，但在Gemini上较低。脆弱性随载荷设计、模型和文档位置而变化。这些发现表明，当前模型存在“上下文盲点”：它们无法可靠地区分手稿内容与嵌入式控制文本。这一弱点威胁着AI辅助评审的有效性，同时也为组织者可能利用的双重用途渠道创造了条件（用于检测）。因此，依赖公共LLM的同行评审系统需要在文档内容与指令之间建立更强的保护机制，才能在评估工作流中值得信赖。</w:t>
      </w:r>
    </w:p>
    <w:p>
      <w:pPr>
        <w:pStyle w:val="Heading3"/>
      </w:pPr>
      <w:r>
        <w:t>研究主要内容</w:t>
      </w:r>
    </w:p>
    <w:p>
      <w:r>
        <w:t>论文探讨了大型语言模型（LLM）用于同行评审时面临的安全风险，特别是间接提示注入攻击（对手稿中隐藏指令的利用），以及对应的完整性探测方法。作者提出了作者-审稿人-组织者框架来分类不同角色的攻击与防御行为，并设计实验评估了两种代表性聊天机器人（ChatGPT和Gemini）在面对五类载荷（正面引导、负面引导、拒绝、水印、重定向）时的脆弱性。实验基于100篇OpenReview论文，通过42000个模型输出系统性地测量了成功率。结果显示，隐藏指令高度有效，多数载荷成功率超过90%，但不同载荷和模型之间存在差异。研究指出当前LLM存在“上下文盲点”，无法区分内容与控制指令，这威胁AI辅助评审的可靠性，但也可被组织者反向利用设计检测机制。</w:t>
      </w:r>
    </w:p>
    <w:p>
      <w:pPr>
        <w:pStyle w:val="Heading3"/>
      </w:pPr>
      <w:r>
        <w:t>研究论点</w:t>
      </w:r>
    </w:p>
    <w:p>
      <w:r>
        <w:t>尽管LLM被引入同行评审以提高效率，但其安全性尚未得到充分评估。手稿中的隐藏指令可能操纵评审结果，而现有模型缺乏可靠的防护机制。因此，必须在部署前设计更严格的保护措施，例如注入位置、载荷分类和完整性检查，以维护评审的公正性。</w:t>
      </w:r>
    </w:p>
    <w:p>
      <w:pPr>
        <w:pStyle w:val="Heading3"/>
      </w:pPr>
      <w:r>
        <w:t>研究问题</w:t>
      </w:r>
    </w:p>
    <w:p>
      <w:r>
        <w:t>在LLM辅助同行评审中，手稿嵌入的隐藏指令（间接提示注入攻击）能够在多大程度上影响模型生成的评审结果？不同载荷类型、模型和注入位置对攻击成功率有何影响？组织者能否利用类似机制设计完整性探测？</w:t>
      </w:r>
    </w:p>
    <w:p>
      <w:pPr>
        <w:pStyle w:val="Heading3"/>
      </w:pPr>
      <w:r>
        <w:t>研究方法</w:t>
      </w:r>
    </w:p>
    <w:p>
      <w:r>
        <w:t>本研究为定量实验研究，采用受控实验设计。样本为从OpenReview平台随机选取的100篇论文。数据来源于两个公共聊天机器人系统（ChatGPT和Gemini）。分析包含五个载荷家族（正面引导、负面引导、拒绝、水印、重定向）、两种自定义提示方法、三种注入位置（手稿起始、中部、结尾），每种条件重复5次。共生成42000个模型输出。分析方法为成功率统计，计算每种条件下目标行为（如给出正面摘要、拒绝回应、输出水印字符串、重定向到外部网站）出现的百分比。摘要中未详细说明统计分析软件或模型选择依据。</w:t>
      </w:r>
    </w:p>
    <w:p>
      <w:pPr>
        <w:pStyle w:val="Heading3"/>
      </w:pPr>
      <w:r>
        <w:t>主要发现</w:t>
      </w:r>
    </w:p>
    <w:p>
      <w:r>
        <w:t>['正面引导、拒绝和外部重定向载荷的成功率在两个系统上均超过98%，显示出极高的攻击有效性。', '水印载荷的成功率在ChatGPT上为94.27%，在Gemini上为88.17%，虽然高于80%但低于其他载荷，且受模型影响显著。', '负面引导载荷在ChatGPT上成功率近乎100%，但在Gemini上较低，表明不同模型对特定类型操纵的防御能力存在差异；脆弱性还随载荷设计和文档位置变化。']</w:t>
      </w:r>
    </w:p>
    <w:p>
      <w:pPr>
        <w:pStyle w:val="Heading3"/>
      </w:pPr>
      <w:r>
        <w:t>对教师教育研究的启示</w:t>
      </w:r>
    </w:p>
    <w:p>
      <w:r>
        <w:t>本研究虽非直接聚焦基础教育阶段，但为教师教育领域中AI辅助评价工具（如自动化作文评分、教学反馈系统）的安全性设计提供了警示：嵌入在输入材料中的隐性指令可能扭曲AI评价结果。教师教育研究者可借鉴本文实验框架（如引入组织者检查、设计载荷分类）来评估AI系统在评测教师教学设计、学生作业时的可靠性。数据收集方法（多轮重复实验、多载荷对比）和分析思路（成功率统计、模型对比）可迁移至教育情境，设计类似安全测试以验证AI教学评价工具能否抵御文本中的隐藏指令。此外，提示教师在使用AI辅助评审时注意对输入内容的审核。</w:t>
      </w:r>
    </w:p>
    <w:p>
      <w:pPr>
        <w:pStyle w:val="Heading3"/>
      </w:pPr>
      <w:r>
        <w:t>APA引用格式</w:t>
      </w:r>
    </w:p>
    <w:p>
      <w:r>
        <w:t>Torrielli, F., Locci, S., Rapp, A., &amp; Di Caro, L. (2026). Exploiting large language models in peer review: indirect prompt injection attacks and integrity probes. Scientometrics. https://doi.org/10.1007/s11192-026-05695-x</w:t>
      </w:r>
    </w:p>
    <w:p>
      <w:pPr>
        <w:pStyle w:val="Heading1"/>
      </w:pPr>
      <w:r>
        <w:t>运行统计</w:t>
      </w:r>
    </w:p>
    <w:tbl>
      <w:tblPr>
        <w:tblStyle w:val="LightShading-Accent1"/>
        <w:tblW w:type="auto" w:w="0"/>
        <w:tblLook w:firstColumn="1" w:firstRow="1" w:lastColumn="0" w:lastRow="0" w:noHBand="0" w:noVBand="1" w:val="04A0"/>
      </w:tblPr>
      <w:tblGrid>
        <w:gridCol w:w="4997"/>
        <w:gridCol w:w="4997"/>
      </w:tblGrid>
      <w:tr>
        <w:tc>
          <w:tcPr>
            <w:tcW w:type="dxa" w:w="4997"/>
          </w:tcPr>
          <w:p>
            <w:r>
              <w:rPr>
                <w:b/>
              </w:rPr>
              <w:t>检索数量</w:t>
            </w:r>
          </w:p>
        </w:tc>
        <w:tc>
          <w:tcPr>
            <w:tcW w:type="dxa" w:w="4997"/>
          </w:tcPr>
          <w:p>
            <w:r>
              <w:t>750</w:t>
            </w:r>
          </w:p>
        </w:tc>
      </w:tr>
      <w:tr>
        <w:tc>
          <w:tcPr>
            <w:tcW w:type="dxa" w:w="4997"/>
          </w:tcPr>
          <w:p>
            <w:r>
              <w:rPr>
                <w:b/>
              </w:rPr>
              <w:t>筛选数量</w:t>
            </w:r>
          </w:p>
        </w:tc>
        <w:tc>
          <w:tcPr>
            <w:tcW w:type="dxa" w:w="4997"/>
          </w:tcPr>
          <w:p>
            <w:r>
              <w:t>5</w:t>
            </w:r>
          </w:p>
        </w:tc>
      </w:tr>
      <w:tr>
        <w:tc>
          <w:tcPr>
            <w:tcW w:type="dxa" w:w="4997"/>
          </w:tcPr>
          <w:p>
            <w:r>
              <w:rPr>
                <w:b/>
              </w:rPr>
              <w:t>AI成功数量</w:t>
            </w:r>
          </w:p>
        </w:tc>
        <w:tc>
          <w:tcPr>
            <w:tcW w:type="dxa" w:w="4997"/>
          </w:tcPr>
          <w:p>
            <w:r>
              <w:t>5</w:t>
            </w:r>
          </w:p>
        </w:tc>
      </w:tr>
      <w:tr>
        <w:tc>
          <w:tcPr>
            <w:tcW w:type="dxa" w:w="4997"/>
          </w:tcPr>
          <w:p>
            <w:r>
              <w:rPr>
                <w:b/>
              </w:rPr>
              <w:t>失败数量</w:t>
            </w:r>
          </w:p>
        </w:tc>
        <w:tc>
          <w:tcPr>
            <w:tcW w:type="dxa" w:w="4997"/>
          </w:tcPr>
          <w:p>
            <w:r>
              <w:t>0</w:t>
            </w:r>
          </w:p>
        </w:tc>
      </w:tr>
      <w:tr>
        <w:tc>
          <w:tcPr>
            <w:tcW w:type="dxa" w:w="4997"/>
          </w:tcPr>
          <w:p>
            <w:r>
              <w:rPr>
                <w:b/>
              </w:rPr>
              <w:t>API耗时</w:t>
            </w:r>
          </w:p>
        </w:tc>
        <w:tc>
          <w:tcPr>
            <w:tcW w:type="dxa" w:w="4997"/>
          </w:tcPr>
          <w:p>
            <w:r>
              <w:t>112.95 秒</w:t>
            </w:r>
          </w:p>
        </w:tc>
      </w:tr>
    </w:tbl>
    <w:sectPr w:rsidR="00FC693F" w:rsidRPr="0006063C" w:rsidSect="00034616">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549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5D9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27497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549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5281/zenodo.21295850" TargetMode="External"/><Relationship Id="rId10" Type="http://schemas.openxmlformats.org/officeDocument/2006/relationships/hyperlink" Target="https://doi.org/10.5281/zenodo.21295851" TargetMode="External"/><Relationship Id="rId11" Type="http://schemas.openxmlformats.org/officeDocument/2006/relationships/hyperlink" Target="https://doi.org/10.24903/sj.v11i2.2370" TargetMode="External"/><Relationship Id="rId12" Type="http://schemas.openxmlformats.org/officeDocument/2006/relationships/hyperlink" Target="https://doi.org/10.1080/13540602.2026.2700749" TargetMode="External"/><Relationship Id="rId13" Type="http://schemas.openxmlformats.org/officeDocument/2006/relationships/hyperlink" Target="https://doi.org/10.1007/s11192-026-0569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