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5CA" w14:textId="77777777" w:rsidR="001535CB" w:rsidRDefault="001535CB">
      <w:pPr>
        <w:spacing w:before="800"/>
      </w:pPr>
    </w:p>
    <w:p w14:paraId="1BA36492" w14:textId="77777777" w:rsidR="001535CB" w:rsidRDefault="00000000"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>EVALUACIÓN DE SQL AVANZADO</w:t>
      </w:r>
    </w:p>
    <w:p w14:paraId="687D97A2" w14:textId="013A2418" w:rsidR="001535CB" w:rsidRDefault="00000000" w:rsidP="00A31E0C">
      <w:pPr>
        <w:spacing w:after="120"/>
        <w:jc w:val="center"/>
      </w:pPr>
      <w:r>
        <w:rPr>
          <w:i/>
          <w:iCs/>
          <w:color w:val="444444"/>
          <w:sz w:val="28"/>
          <w:szCs w:val="28"/>
        </w:rPr>
        <w:t xml:space="preserve">Indicadores Mundiales — World </w:t>
      </w:r>
      <w:proofErr w:type="spellStart"/>
      <w:r>
        <w:rPr>
          <w:i/>
          <w:iCs/>
          <w:color w:val="444444"/>
          <w:sz w:val="28"/>
          <w:szCs w:val="28"/>
        </w:rPr>
        <w:t>Development</w:t>
      </w:r>
      <w:proofErr w:type="spellEnd"/>
      <w:r>
        <w:rPr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i/>
          <w:iCs/>
          <w:color w:val="444444"/>
          <w:sz w:val="28"/>
          <w:szCs w:val="28"/>
        </w:rPr>
        <w:t>Indicators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35CB" w14:paraId="097607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2F0E59" w14:textId="77777777" w:rsidR="001535CB" w:rsidRDefault="00000000">
            <w:pPr>
              <w:spacing w:after="100"/>
            </w:pPr>
            <w:r>
              <w:rPr>
                <w:b/>
                <w:bCs/>
                <w:color w:val="7D4E00"/>
                <w:sz w:val="24"/>
                <w:szCs w:val="24"/>
              </w:rPr>
              <w:t>⚠  Instrucciones Generales</w:t>
            </w:r>
          </w:p>
          <w:p w14:paraId="694646C5" w14:textId="77777777" w:rsidR="001535CB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• Cada pregunta debe resolverse mediante una única sentencia SQL (se permiten </w:t>
            </w:r>
            <w:proofErr w:type="spellStart"/>
            <w:r>
              <w:rPr>
                <w:sz w:val="20"/>
                <w:szCs w:val="20"/>
              </w:rPr>
              <w:t>CTEs</w:t>
            </w:r>
            <w:proofErr w:type="spellEnd"/>
            <w:r>
              <w:rPr>
                <w:sz w:val="20"/>
                <w:szCs w:val="20"/>
              </w:rPr>
              <w:t xml:space="preserve"> dentro de ella).</w:t>
            </w:r>
          </w:p>
          <w:p w14:paraId="4815D69F" w14:textId="77777777" w:rsidR="001535CB" w:rsidRDefault="00000000">
            <w:pPr>
              <w:spacing w:after="60"/>
            </w:pPr>
            <w:r>
              <w:rPr>
                <w:sz w:val="20"/>
                <w:szCs w:val="20"/>
              </w:rPr>
              <w:t>• Se evaluará la correctitud del resultado, la eficiencia de la consulta y el uso apropiado de las técnicas indicadas.</w:t>
            </w:r>
          </w:p>
          <w:p w14:paraId="08D7708D" w14:textId="77777777" w:rsidR="001535CB" w:rsidRDefault="00000000">
            <w:pPr>
              <w:spacing w:after="60"/>
            </w:pPr>
            <w:r>
              <w:rPr>
                <w:sz w:val="20"/>
                <w:szCs w:val="20"/>
              </w:rPr>
              <w:t>• Las columnas del resultado final deben tener alias descriptivos en español.</w:t>
            </w:r>
          </w:p>
          <w:p w14:paraId="4C057C15" w14:textId="77777777" w:rsidR="001535CB" w:rsidRDefault="00000000">
            <w:r>
              <w:rPr>
                <w:sz w:val="20"/>
                <w:szCs w:val="20"/>
              </w:rPr>
              <w:t xml:space="preserve">• Se permite el uso de cualquier motor SQL (PostgreSQL, MySQL 8+, SQL Server, </w:t>
            </w:r>
            <w:proofErr w:type="spellStart"/>
            <w:r>
              <w:rPr>
                <w:sz w:val="20"/>
                <w:szCs w:val="20"/>
              </w:rPr>
              <w:t>BigQuery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100D52FE" w14:textId="77777777" w:rsidR="001535CB" w:rsidRDefault="00000000">
      <w:pPr>
        <w:spacing w:before="400"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35CB" w14:paraId="26D8EA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35A3C7" w14:textId="77777777" w:rsidR="001535CB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Pregunta 1: Países con Desempeño Sostenido por Encima del Promedio Regional</w:t>
            </w:r>
          </w:p>
        </w:tc>
      </w:tr>
      <w:tr w:rsidR="001535CB" w14:paraId="2C1B5F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A5347A" w14:textId="77777777" w:rsidR="001535CB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Enunciado:</w:t>
            </w:r>
          </w:p>
          <w:p w14:paraId="5EDB1BF6" w14:textId="77777777" w:rsidR="001535CB" w:rsidRDefault="00000000">
            <w:pPr>
              <w:spacing w:after="60"/>
            </w:pPr>
            <w:r>
              <w:t>Identifica todos los países que, durante los últimos 10 años con datos disponibles, hayan</w:t>
            </w:r>
          </w:p>
          <w:p w14:paraId="16CC9EEF" w14:textId="77777777" w:rsidR="001535CB" w:rsidRDefault="00000000">
            <w:pPr>
              <w:spacing w:after="60"/>
            </w:pPr>
            <w:r>
              <w:t>mantenido consistentemente su valor por encima del promedio de su región para un mismo</w:t>
            </w:r>
          </w:p>
          <w:p w14:paraId="42FA0640" w14:textId="77777777" w:rsidR="001535CB" w:rsidRDefault="00000000">
            <w:pPr>
              <w:spacing w:after="60"/>
            </w:pPr>
            <w:r>
              <w:t>indicador de desarrollo económico. Solo considera países que pertenezcan al grupo de</w:t>
            </w:r>
          </w:p>
          <w:p w14:paraId="0CCE8D69" w14:textId="77777777" w:rsidR="001535CB" w:rsidRDefault="00000000">
            <w:pPr>
              <w:spacing w:after="60"/>
            </w:pPr>
            <w:r>
              <w:t>ingresos medios o altos, y muestra el nombre del país, su región, el nombre del indicador,</w:t>
            </w:r>
          </w:p>
          <w:p w14:paraId="6B13A58C" w14:textId="77777777" w:rsidR="001535CB" w:rsidRDefault="00000000">
            <w:pPr>
              <w:spacing w:after="60"/>
            </w:pPr>
            <w:r>
              <w:t>el promedio regional y el promedio del país en ese período. Ordena los resultados por la</w:t>
            </w:r>
          </w:p>
          <w:p w14:paraId="6BC2D2BC" w14:textId="77777777" w:rsidR="001535CB" w:rsidRDefault="00000000">
            <w:pPr>
              <w:spacing w:after="60"/>
            </w:pPr>
            <w:r>
              <w:t>diferencia entre ambos promedios de forma descendente.</w:t>
            </w:r>
          </w:p>
        </w:tc>
      </w:tr>
    </w:tbl>
    <w:p w14:paraId="3AFDF240" w14:textId="77777777" w:rsidR="001535CB" w:rsidRDefault="001535CB">
      <w:pPr>
        <w:pBdr>
          <w:bottom w:val="single" w:sz="4" w:space="1" w:color="CCCCCC"/>
        </w:pBdr>
        <w:spacing w:after="60"/>
      </w:pPr>
    </w:p>
    <w:p w14:paraId="3B43419D" w14:textId="77777777" w:rsidR="001535CB" w:rsidRDefault="001535CB">
      <w:pPr>
        <w:spacing w:before="60" w:after="60"/>
      </w:pPr>
    </w:p>
    <w:p w14:paraId="1E38FF00" w14:textId="77777777" w:rsidR="001535CB" w:rsidRDefault="00000000">
      <w:pPr>
        <w:spacing w:before="200"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35CB" w14:paraId="644276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9B6A1C" w14:textId="77777777" w:rsidR="001535CB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Pregunta 2: Ranking de Indicadores con Mayor Brecha entre Grupos de Ingreso</w:t>
            </w:r>
          </w:p>
        </w:tc>
      </w:tr>
      <w:tr w:rsidR="001535CB" w14:paraId="040142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B9E404" w14:textId="77777777" w:rsidR="001535CB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Enunciado:</w:t>
            </w:r>
          </w:p>
          <w:p w14:paraId="4A6D511C" w14:textId="77777777" w:rsidR="001535CB" w:rsidRDefault="00000000">
            <w:pPr>
              <w:spacing w:after="60"/>
            </w:pPr>
            <w:r>
              <w:t>Para cada categoría temática de indicadores, determina cuál es el indicador que presenta</w:t>
            </w:r>
          </w:p>
          <w:p w14:paraId="5ECD68FA" w14:textId="77777777" w:rsidR="001535CB" w:rsidRDefault="00000000">
            <w:pPr>
              <w:spacing w:after="60"/>
            </w:pPr>
            <w:r>
              <w:t>la mayor brecha porcentual entre el grupo de países de ingreso alto y el grupo de países</w:t>
            </w:r>
          </w:p>
          <w:p w14:paraId="09411571" w14:textId="77777777" w:rsidR="001535CB" w:rsidRDefault="00000000">
            <w:pPr>
              <w:spacing w:after="60"/>
            </w:pPr>
            <w:r>
              <w:t>de ingreso bajo, usando el promedio del año más reciente disponible para cada grupo.</w:t>
            </w:r>
          </w:p>
          <w:p w14:paraId="20E042A1" w14:textId="77777777" w:rsidR="001535CB" w:rsidRDefault="00000000">
            <w:pPr>
              <w:spacing w:after="60"/>
            </w:pPr>
            <w:r>
              <w:t>Incluye solo aquellos indicadores que tengan datos registrados para ambos grupos de</w:t>
            </w:r>
          </w:p>
          <w:p w14:paraId="5668E544" w14:textId="77777777" w:rsidR="001535CB" w:rsidRDefault="00000000">
            <w:pPr>
              <w:spacing w:after="60"/>
            </w:pPr>
            <w:r>
              <w:t>ingreso en ese año, y muestra el nombre del indicador, el tema, el valor promedio de</w:t>
            </w:r>
          </w:p>
          <w:p w14:paraId="1130462F" w14:textId="77777777" w:rsidR="001535CB" w:rsidRDefault="00000000">
            <w:pPr>
              <w:spacing w:after="60"/>
            </w:pPr>
            <w:r>
              <w:t>cada grupo y la brecha porcentual calculada.</w:t>
            </w:r>
          </w:p>
        </w:tc>
      </w:tr>
    </w:tbl>
    <w:p w14:paraId="039B35C1" w14:textId="77777777" w:rsidR="001535CB" w:rsidRDefault="001535CB">
      <w:pPr>
        <w:pBdr>
          <w:bottom w:val="single" w:sz="4" w:space="1" w:color="CCCCCC"/>
        </w:pBdr>
        <w:spacing w:after="60"/>
      </w:pPr>
    </w:p>
    <w:p w14:paraId="7469F1D2" w14:textId="77777777" w:rsidR="001535CB" w:rsidRDefault="001535CB">
      <w:pPr>
        <w:spacing w:before="60" w:after="60"/>
      </w:pPr>
    </w:p>
    <w:p w14:paraId="1F6EF4C9" w14:textId="77777777" w:rsidR="001535CB" w:rsidRDefault="00000000">
      <w:pPr>
        <w:spacing w:before="200"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35CB" w14:paraId="7AB9A5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B18148" w14:textId="77777777" w:rsidR="001535CB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Pregunta 3: Evolución Interanual y Detección de Regresiones Significativas</w:t>
            </w:r>
          </w:p>
        </w:tc>
      </w:tr>
      <w:tr w:rsidR="001535CB" w14:paraId="6437D8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02E9FF" w14:textId="77777777" w:rsidR="001535CB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Enunciado:</w:t>
            </w:r>
          </w:p>
          <w:p w14:paraId="6DD7A118" w14:textId="77777777" w:rsidR="001535CB" w:rsidRDefault="00000000">
            <w:pPr>
              <w:spacing w:after="60"/>
            </w:pPr>
            <w:r>
              <w:t>Para los países de América Latina y el Caribe, detecta aquellos que hayan experimentado</w:t>
            </w:r>
          </w:p>
          <w:p w14:paraId="044BFE2C" w14:textId="77777777" w:rsidR="001535CB" w:rsidRDefault="00000000">
            <w:pPr>
              <w:spacing w:after="60"/>
            </w:pPr>
            <w:r>
              <w:t>al menos una caída interanual superior al 20% en algún indicador de salud o educación</w:t>
            </w:r>
          </w:p>
          <w:p w14:paraId="7262998D" w14:textId="77777777" w:rsidR="001535CB" w:rsidRDefault="00000000">
            <w:pPr>
              <w:spacing w:after="60"/>
            </w:pPr>
            <w:r>
              <w:t>entre el año 2000 y el 2020. Por cada caso detectado, muestra el nombre del país, el</w:t>
            </w:r>
          </w:p>
          <w:p w14:paraId="4BA99F92" w14:textId="77777777" w:rsidR="001535CB" w:rsidRDefault="00000000">
            <w:pPr>
              <w:spacing w:after="60"/>
            </w:pPr>
            <w:r>
              <w:t>indicador, el año en que se produjo la caída, el valor anterior, el valor posterior y el</w:t>
            </w:r>
          </w:p>
          <w:p w14:paraId="455B8CDD" w14:textId="77777777" w:rsidR="001535CB" w:rsidRDefault="00000000">
            <w:pPr>
              <w:spacing w:after="60"/>
            </w:pPr>
            <w:r>
              <w:t>porcentaje de variación. Excluye los casos donde alguno de los dos valores sea nulo o cero.</w:t>
            </w:r>
          </w:p>
        </w:tc>
      </w:tr>
    </w:tbl>
    <w:p w14:paraId="3C9D88CA" w14:textId="77777777" w:rsidR="001535CB" w:rsidRDefault="001535CB">
      <w:pPr>
        <w:pBdr>
          <w:bottom w:val="single" w:sz="4" w:space="1" w:color="CCCCCC"/>
        </w:pBdr>
        <w:spacing w:after="60"/>
      </w:pPr>
    </w:p>
    <w:p w14:paraId="029575EB" w14:textId="77777777" w:rsidR="001535CB" w:rsidRDefault="001535CB">
      <w:pPr>
        <w:spacing w:before="60" w:after="60"/>
      </w:pPr>
    </w:p>
    <w:p w14:paraId="3AD96541" w14:textId="77777777" w:rsidR="001535CB" w:rsidRDefault="00000000">
      <w:pPr>
        <w:spacing w:before="200"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35CB" w14:paraId="5ADC1F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0E40E3" w14:textId="77777777" w:rsidR="001535CB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Pregunta 4: Indicadores Huérfanos con Notas pero sin Datos Recientes</w:t>
            </w:r>
          </w:p>
        </w:tc>
      </w:tr>
      <w:tr w:rsidR="001535CB" w14:paraId="71060A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BFC54B" w14:textId="77777777" w:rsidR="001535CB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Enunciado:</w:t>
            </w:r>
          </w:p>
          <w:p w14:paraId="5D009DD2" w14:textId="77777777" w:rsidR="001535CB" w:rsidRDefault="00000000">
            <w:pPr>
              <w:spacing w:after="60"/>
            </w:pPr>
            <w:r>
              <w:t>Encuentra todos los indicadores que cumplan simultáneamente las siguientes condiciones:</w:t>
            </w:r>
          </w:p>
          <w:p w14:paraId="7BB35761" w14:textId="77777777" w:rsidR="001535CB" w:rsidRDefault="00000000">
            <w:pPr>
              <w:spacing w:after="60"/>
            </w:pPr>
            <w:r>
              <w:t>1) Tienen al menos una nota de serie registrada posterior al año 2010.</w:t>
            </w:r>
          </w:p>
          <w:p w14:paraId="2A2C1921" w14:textId="77777777" w:rsidR="001535CB" w:rsidRDefault="00000000">
            <w:pPr>
              <w:spacing w:after="60"/>
            </w:pPr>
            <w:r>
              <w:t>2) Tienen al menos una nota a nivel de país asociada.</w:t>
            </w:r>
          </w:p>
          <w:p w14:paraId="78CCC83F" w14:textId="77777777" w:rsidR="001535CB" w:rsidRDefault="00000000">
            <w:pPr>
              <w:spacing w:after="60"/>
            </w:pPr>
            <w:r>
              <w:t>3) No tienen ningún valor de dato registrado en los últimos 5 años disponibles en la tabla</w:t>
            </w:r>
          </w:p>
          <w:p w14:paraId="632B211B" w14:textId="77777777" w:rsidR="001535CB" w:rsidRDefault="00000000">
            <w:pPr>
              <w:spacing w:after="60"/>
            </w:pPr>
            <w:r>
              <w:t>de mediciones.</w:t>
            </w:r>
          </w:p>
          <w:p w14:paraId="08A1EB58" w14:textId="77777777" w:rsidR="001535CB" w:rsidRDefault="00000000">
            <w:pPr>
              <w:spacing w:after="60"/>
            </w:pPr>
            <w:r>
              <w:t>Para cada indicador encontrado, muestra su código, nombre completo, tema, el año</w:t>
            </w:r>
          </w:p>
          <w:p w14:paraId="46CE3CFA" w14:textId="77777777" w:rsidR="001535CB" w:rsidRDefault="00000000">
            <w:pPr>
              <w:spacing w:after="60"/>
            </w:pPr>
            <w:r>
              <w:t>de la nota más reciente y la cantidad de países con notas asociadas.</w:t>
            </w:r>
          </w:p>
        </w:tc>
      </w:tr>
    </w:tbl>
    <w:p w14:paraId="58C19010" w14:textId="77777777" w:rsidR="001535CB" w:rsidRDefault="001535CB">
      <w:pPr>
        <w:pBdr>
          <w:bottom w:val="single" w:sz="4" w:space="1" w:color="CCCCCC"/>
        </w:pBdr>
        <w:spacing w:after="60"/>
      </w:pPr>
    </w:p>
    <w:p w14:paraId="14C08CF5" w14:textId="77777777" w:rsidR="001535CB" w:rsidRDefault="001535CB">
      <w:pPr>
        <w:spacing w:before="60" w:after="60"/>
      </w:pPr>
    </w:p>
    <w:p w14:paraId="39EC4FFF" w14:textId="77777777" w:rsidR="001535CB" w:rsidRDefault="00000000">
      <w:pPr>
        <w:spacing w:before="200"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35CB" w14:paraId="72143A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C5BDEF" w14:textId="77777777" w:rsidR="001535CB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Pregunta 5: Países con Crecimiento Compuesto Sostenido y Ranking Global</w:t>
            </w:r>
          </w:p>
        </w:tc>
      </w:tr>
      <w:tr w:rsidR="001535CB" w14:paraId="03F538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177DC2" w14:textId="77777777" w:rsidR="001535CB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Enunciado:</w:t>
            </w:r>
          </w:p>
          <w:p w14:paraId="59402E0D" w14:textId="77777777" w:rsidR="001535CB" w:rsidRDefault="00000000">
            <w:pPr>
              <w:spacing w:after="60"/>
            </w:pPr>
            <w:r>
              <w:t>Calcula la tasa de crecimiento anual compuesto (CAGR) de un indicador de ingreso</w:t>
            </w:r>
          </w:p>
          <w:p w14:paraId="0E3399DE" w14:textId="77777777" w:rsidR="001535CB" w:rsidRDefault="00000000">
            <w:pPr>
              <w:spacing w:after="60"/>
            </w:pPr>
            <w:r>
              <w:t>nacional para todos los países que tengan datos tanto en el año 2000 como en el 2020.</w:t>
            </w:r>
          </w:p>
          <w:p w14:paraId="6CA297C3" w14:textId="77777777" w:rsidR="001535CB" w:rsidRDefault="00000000">
            <w:pPr>
              <w:spacing w:after="60"/>
            </w:pPr>
            <w:r>
              <w:t>Luego, asigna a cada país un ranking global y un ranking dentro de su grupo de ingresos</w:t>
            </w:r>
          </w:p>
          <w:p w14:paraId="34A503EF" w14:textId="77777777" w:rsidR="001535CB" w:rsidRDefault="00000000">
            <w:pPr>
              <w:spacing w:after="60"/>
            </w:pPr>
            <w:r>
              <w:t>según esa tasa de crecimiento. Muestra únicamente los 5 países con mayor CAGR de</w:t>
            </w:r>
          </w:p>
          <w:p w14:paraId="3994B779" w14:textId="77777777" w:rsidR="001535CB" w:rsidRDefault="00000000">
            <w:pPr>
              <w:spacing w:after="60"/>
            </w:pPr>
            <w:r>
              <w:t>cada grupo de ingresos, incluyendo el nombre del país, su grupo de ingresos, la región,</w:t>
            </w:r>
          </w:p>
          <w:p w14:paraId="194F7A05" w14:textId="77777777" w:rsidR="001535CB" w:rsidRDefault="00000000">
            <w:pPr>
              <w:spacing w:after="60"/>
            </w:pPr>
            <w:r>
              <w:t>el CAGR calculado, el ranking global y el ranking por grupo. El CAGR se define como:</w:t>
            </w:r>
          </w:p>
          <w:p w14:paraId="1908DC39" w14:textId="77777777" w:rsidR="001535CB" w:rsidRDefault="00000000">
            <w:pPr>
              <w:spacing w:after="60"/>
            </w:pPr>
            <w:r>
              <w:t>((</w:t>
            </w:r>
            <w:proofErr w:type="spellStart"/>
            <w:r>
              <w:t>valor_final</w:t>
            </w:r>
            <w:proofErr w:type="spellEnd"/>
            <w:r>
              <w:t xml:space="preserve"> / </w:t>
            </w:r>
            <w:proofErr w:type="spellStart"/>
            <w:r>
              <w:t>valor_inicial</w:t>
            </w:r>
            <w:proofErr w:type="spellEnd"/>
            <w:r>
              <w:t>) ^ (1/n) - 1) * 100, donde n = número de años.</w:t>
            </w:r>
          </w:p>
        </w:tc>
      </w:tr>
    </w:tbl>
    <w:p w14:paraId="6D075586" w14:textId="77777777" w:rsidR="001535CB" w:rsidRDefault="001535CB">
      <w:pPr>
        <w:pBdr>
          <w:bottom w:val="single" w:sz="4" w:space="1" w:color="CCCCCC"/>
        </w:pBdr>
        <w:spacing w:after="60"/>
      </w:pPr>
    </w:p>
    <w:p w14:paraId="4D68DB82" w14:textId="77777777" w:rsidR="001535CB" w:rsidRDefault="001535CB">
      <w:pPr>
        <w:pBdr>
          <w:bottom w:val="single" w:sz="4" w:space="1" w:color="CCCCCC"/>
        </w:pBdr>
        <w:spacing w:after="60"/>
      </w:pPr>
    </w:p>
    <w:p w14:paraId="4AB9DE5F" w14:textId="77777777" w:rsidR="001535CB" w:rsidRDefault="001535CB">
      <w:pPr>
        <w:spacing w:before="60" w:after="60"/>
      </w:pPr>
    </w:p>
    <w:sectPr w:rsidR="001535CB">
      <w:foot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3B3A8" w14:textId="77777777" w:rsidR="002921ED" w:rsidRDefault="002921ED">
      <w:r>
        <w:separator/>
      </w:r>
    </w:p>
  </w:endnote>
  <w:endnote w:type="continuationSeparator" w:id="0">
    <w:p w14:paraId="398CD697" w14:textId="77777777" w:rsidR="002921ED" w:rsidRDefault="00292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78C57" w14:textId="77777777" w:rsidR="001535CB" w:rsidRDefault="00000000">
    <w:pPr>
      <w:jc w:val="center"/>
    </w:pPr>
    <w:r>
      <w:rPr>
        <w:color w:val="888888"/>
        <w:sz w:val="18"/>
        <w:szCs w:val="18"/>
      </w:rPr>
      <w:t xml:space="preserve">Evaluación SQL — Indicadores Mundiales  |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31E0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A31E0C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CFF1F" w14:textId="77777777" w:rsidR="002921ED" w:rsidRDefault="002921ED">
      <w:r>
        <w:separator/>
      </w:r>
    </w:p>
  </w:footnote>
  <w:footnote w:type="continuationSeparator" w:id="0">
    <w:p w14:paraId="3C977CE3" w14:textId="77777777" w:rsidR="002921ED" w:rsidRDefault="002921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00B50"/>
    <w:multiLevelType w:val="hybridMultilevel"/>
    <w:tmpl w:val="466ADC3A"/>
    <w:lvl w:ilvl="0" w:tplc="3D10EEF4">
      <w:start w:val="1"/>
      <w:numFmt w:val="bullet"/>
      <w:lvlText w:val="●"/>
      <w:lvlJc w:val="left"/>
      <w:pPr>
        <w:ind w:left="720" w:hanging="360"/>
      </w:pPr>
    </w:lvl>
    <w:lvl w:ilvl="1" w:tplc="BB7C14BE">
      <w:start w:val="1"/>
      <w:numFmt w:val="bullet"/>
      <w:lvlText w:val="○"/>
      <w:lvlJc w:val="left"/>
      <w:pPr>
        <w:ind w:left="1440" w:hanging="360"/>
      </w:pPr>
    </w:lvl>
    <w:lvl w:ilvl="2" w:tplc="10284364">
      <w:start w:val="1"/>
      <w:numFmt w:val="bullet"/>
      <w:lvlText w:val="■"/>
      <w:lvlJc w:val="left"/>
      <w:pPr>
        <w:ind w:left="2160" w:hanging="360"/>
      </w:pPr>
    </w:lvl>
    <w:lvl w:ilvl="3" w:tplc="B1E4FD1C">
      <w:start w:val="1"/>
      <w:numFmt w:val="bullet"/>
      <w:lvlText w:val="●"/>
      <w:lvlJc w:val="left"/>
      <w:pPr>
        <w:ind w:left="2880" w:hanging="360"/>
      </w:pPr>
    </w:lvl>
    <w:lvl w:ilvl="4" w:tplc="D994B262">
      <w:start w:val="1"/>
      <w:numFmt w:val="bullet"/>
      <w:lvlText w:val="○"/>
      <w:lvlJc w:val="left"/>
      <w:pPr>
        <w:ind w:left="3600" w:hanging="360"/>
      </w:pPr>
    </w:lvl>
    <w:lvl w:ilvl="5" w:tplc="E15E6114">
      <w:start w:val="1"/>
      <w:numFmt w:val="bullet"/>
      <w:lvlText w:val="■"/>
      <w:lvlJc w:val="left"/>
      <w:pPr>
        <w:ind w:left="4320" w:hanging="360"/>
      </w:pPr>
    </w:lvl>
    <w:lvl w:ilvl="6" w:tplc="B05AFF34">
      <w:start w:val="1"/>
      <w:numFmt w:val="bullet"/>
      <w:lvlText w:val="●"/>
      <w:lvlJc w:val="left"/>
      <w:pPr>
        <w:ind w:left="5040" w:hanging="360"/>
      </w:pPr>
    </w:lvl>
    <w:lvl w:ilvl="7" w:tplc="3C70299A">
      <w:start w:val="1"/>
      <w:numFmt w:val="bullet"/>
      <w:lvlText w:val="●"/>
      <w:lvlJc w:val="left"/>
      <w:pPr>
        <w:ind w:left="5760" w:hanging="360"/>
      </w:pPr>
    </w:lvl>
    <w:lvl w:ilvl="8" w:tplc="4C7A68CA">
      <w:start w:val="1"/>
      <w:numFmt w:val="bullet"/>
      <w:lvlText w:val="●"/>
      <w:lvlJc w:val="left"/>
      <w:pPr>
        <w:ind w:left="6480" w:hanging="360"/>
      </w:pPr>
    </w:lvl>
  </w:abstractNum>
  <w:num w:numId="1" w16cid:durableId="17831137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5CB"/>
    <w:rsid w:val="001535CB"/>
    <w:rsid w:val="002921ED"/>
    <w:rsid w:val="00A00FDA"/>
    <w:rsid w:val="00A3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89D4F"/>
  <w15:docId w15:val="{A258FA70-C3AD-426D-A035-F7021AFBD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525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Jesus Ochoa</cp:lastModifiedBy>
  <cp:revision>2</cp:revision>
  <dcterms:created xsi:type="dcterms:W3CDTF">2026-03-28T01:36:00Z</dcterms:created>
  <dcterms:modified xsi:type="dcterms:W3CDTF">2026-03-28T01:39:00Z</dcterms:modified>
</cp:coreProperties>
</file>