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43A30" w14:textId="77777777" w:rsidR="00522C35" w:rsidRDefault="00522C35">
      <w:pPr>
        <w:rPr>
          <w:rFonts w:ascii="Arial" w:hAnsi="Arial" w:cs="Arial"/>
          <w:color w:val="2A2A2A"/>
          <w:sz w:val="23"/>
          <w:szCs w:val="23"/>
          <w:shd w:val="clear" w:color="auto" w:fill="FFFFFF"/>
          <w:lang w:val="en-GB"/>
        </w:rPr>
      </w:pPr>
      <w:bookmarkStart w:id="0" w:name="_GoBack"/>
      <w:bookmarkEnd w:id="0"/>
      <w:proofErr w:type="spellStart"/>
      <w:r w:rsidRPr="00522C35">
        <w:rPr>
          <w:rFonts w:ascii="Arial" w:hAnsi="Arial" w:cs="Arial"/>
          <w:color w:val="2A2A2A"/>
          <w:sz w:val="23"/>
          <w:szCs w:val="23"/>
          <w:shd w:val="clear" w:color="auto" w:fill="FFFFFF"/>
          <w:lang w:val="en-GB"/>
        </w:rPr>
        <w:t>Skogland</w:t>
      </w:r>
      <w:proofErr w:type="spellEnd"/>
      <w:r w:rsidRPr="00522C35">
        <w:rPr>
          <w:rFonts w:ascii="Arial" w:hAnsi="Arial" w:cs="Arial"/>
          <w:color w:val="2A2A2A"/>
          <w:sz w:val="23"/>
          <w:szCs w:val="23"/>
          <w:shd w:val="clear" w:color="auto" w:fill="FFFFFF"/>
          <w:lang w:val="en-GB"/>
        </w:rPr>
        <w:t>, T.</w:t>
      </w:r>
      <w:r w:rsidR="00384B9D">
        <w:rPr>
          <w:rFonts w:ascii="Arial" w:hAnsi="Arial" w:cs="Arial"/>
          <w:color w:val="2A2A2A"/>
          <w:sz w:val="23"/>
          <w:szCs w:val="23"/>
          <w:shd w:val="clear" w:color="auto" w:fill="FFFFFF"/>
          <w:lang w:val="en-GB"/>
        </w:rPr>
        <w:t xml:space="preserve"> 1975,</w:t>
      </w:r>
      <w:r w:rsidR="00384B9D" w:rsidRPr="00384B9D">
        <w:rPr>
          <w:rFonts w:ascii="Arial" w:hAnsi="Arial" w:cs="Arial"/>
          <w:color w:val="2A2A2A"/>
          <w:sz w:val="23"/>
          <w:szCs w:val="23"/>
          <w:shd w:val="clear" w:color="auto" w:fill="FFFFFF"/>
          <w:lang w:val="en-GB"/>
        </w:rPr>
        <w:t xml:space="preserve"> Range use and food selectivity by wild reindeer in Southern Norway.</w:t>
      </w:r>
      <w:r w:rsidR="00384B9D">
        <w:rPr>
          <w:rFonts w:ascii="Arial" w:hAnsi="Arial" w:cs="Arial"/>
          <w:color w:val="2A2A2A"/>
          <w:sz w:val="23"/>
          <w:szCs w:val="23"/>
          <w:shd w:val="clear" w:color="auto" w:fill="FFFFFF"/>
          <w:lang w:val="en-GB"/>
        </w:rPr>
        <w:t xml:space="preserve">  In </w:t>
      </w:r>
      <w:proofErr w:type="spellStart"/>
      <w:r w:rsidRPr="00522C35">
        <w:rPr>
          <w:rFonts w:ascii="Arial" w:hAnsi="Arial" w:cs="Arial"/>
          <w:color w:val="2A2A2A"/>
          <w:sz w:val="23"/>
          <w:szCs w:val="23"/>
          <w:shd w:val="clear" w:color="auto" w:fill="FFFFFF"/>
          <w:lang w:val="en-GB"/>
        </w:rPr>
        <w:t>Luick</w:t>
      </w:r>
      <w:proofErr w:type="spellEnd"/>
      <w:r w:rsidRPr="00522C35">
        <w:rPr>
          <w:rFonts w:ascii="Arial" w:hAnsi="Arial" w:cs="Arial"/>
          <w:color w:val="2A2A2A"/>
          <w:sz w:val="23"/>
          <w:szCs w:val="23"/>
          <w:shd w:val="clear" w:color="auto" w:fill="FFFFFF"/>
          <w:lang w:val="en-GB"/>
        </w:rPr>
        <w:t>, J.R. (ed.); p</w:t>
      </w:r>
      <w:r w:rsidR="00384B9D">
        <w:rPr>
          <w:rFonts w:ascii="Arial" w:hAnsi="Arial" w:cs="Arial"/>
          <w:color w:val="2A2A2A"/>
          <w:sz w:val="23"/>
          <w:szCs w:val="23"/>
          <w:shd w:val="clear" w:color="auto" w:fill="FFFFFF"/>
          <w:lang w:val="en-GB"/>
        </w:rPr>
        <w:t xml:space="preserve">. 342-354; </w:t>
      </w:r>
      <w:r w:rsidRPr="00522C35">
        <w:rPr>
          <w:rFonts w:ascii="Arial" w:hAnsi="Arial" w:cs="Arial"/>
          <w:color w:val="2A2A2A"/>
          <w:sz w:val="23"/>
          <w:szCs w:val="23"/>
          <w:shd w:val="clear" w:color="auto" w:fill="FFFFFF"/>
          <w:lang w:val="en-GB"/>
        </w:rPr>
        <w:t xml:space="preserve">Univ. of Alaska; Fairbanks, Alaska; 1. </w:t>
      </w:r>
      <w:proofErr w:type="gramStart"/>
      <w:r w:rsidRPr="00522C35">
        <w:rPr>
          <w:rFonts w:ascii="Arial" w:hAnsi="Arial" w:cs="Arial"/>
          <w:color w:val="2A2A2A"/>
          <w:sz w:val="23"/>
          <w:szCs w:val="23"/>
          <w:shd w:val="clear" w:color="auto" w:fill="FFFFFF"/>
          <w:lang w:val="en-GB"/>
        </w:rPr>
        <w:t>international</w:t>
      </w:r>
      <w:proofErr w:type="gramEnd"/>
      <w:r w:rsidRPr="00522C35">
        <w:rPr>
          <w:rFonts w:ascii="Arial" w:hAnsi="Arial" w:cs="Arial"/>
          <w:color w:val="2A2A2A"/>
          <w:sz w:val="23"/>
          <w:szCs w:val="23"/>
          <w:shd w:val="clear" w:color="auto" w:fill="FFFFFF"/>
          <w:lang w:val="en-GB"/>
        </w:rPr>
        <w:t xml:space="preserve"> reindeer and caribou symposium; Fairbanks, Alaska, United States of America (USA); 9 Aug 1972</w:t>
      </w:r>
    </w:p>
    <w:p w14:paraId="5D691B1A" w14:textId="77777777" w:rsidR="00522C35" w:rsidRDefault="00522C35">
      <w:pPr>
        <w:rPr>
          <w:rFonts w:ascii="Arial" w:hAnsi="Arial" w:cs="Arial"/>
          <w:color w:val="2A2A2A"/>
          <w:sz w:val="23"/>
          <w:szCs w:val="23"/>
          <w:shd w:val="clear" w:color="auto" w:fill="FFFFFF"/>
          <w:lang w:val="en-GB"/>
        </w:rPr>
      </w:pPr>
      <w:r w:rsidRPr="00522C35">
        <w:rPr>
          <w:rFonts w:ascii="Arial" w:hAnsi="Arial" w:cs="Arial"/>
          <w:color w:val="2A2A2A"/>
          <w:sz w:val="23"/>
          <w:szCs w:val="23"/>
          <w:shd w:val="clear" w:color="auto" w:fill="FFFFFF"/>
          <w:lang w:val="en-GB"/>
        </w:rPr>
        <w:t xml:space="preserve">Year-round direct ground observations are in progress to determine the portion of active time that reindeer spend feeding in different vegetation types within the arctic-alpine ecosystem. Reindeer ranged through nine phytosociological plant communities during their annual cycle of movement in 1971. </w:t>
      </w:r>
      <w:proofErr w:type="spellStart"/>
      <w:r w:rsidRPr="00522C35">
        <w:rPr>
          <w:rFonts w:ascii="Arial" w:hAnsi="Arial" w:cs="Arial"/>
          <w:color w:val="2A2A2A"/>
          <w:sz w:val="23"/>
          <w:szCs w:val="23"/>
          <w:shd w:val="clear" w:color="auto" w:fill="FFFFFF"/>
          <w:lang w:val="en-GB"/>
        </w:rPr>
        <w:t>Cladonia</w:t>
      </w:r>
      <w:proofErr w:type="spellEnd"/>
      <w:r w:rsidRPr="00522C35">
        <w:rPr>
          <w:rFonts w:ascii="Arial" w:hAnsi="Arial" w:cs="Arial"/>
          <w:color w:val="2A2A2A"/>
          <w:sz w:val="23"/>
          <w:szCs w:val="23"/>
          <w:shd w:val="clear" w:color="auto" w:fill="FFFFFF"/>
          <w:lang w:val="en-GB"/>
        </w:rPr>
        <w:t xml:space="preserve"> heaths received 60 percent of the annual use and approximately 95 percent of the December-April use. </w:t>
      </w:r>
      <w:proofErr w:type="spellStart"/>
      <w:r w:rsidRPr="003940C6">
        <w:rPr>
          <w:rFonts w:ascii="Arial" w:hAnsi="Arial" w:cs="Arial"/>
          <w:color w:val="2A2A2A"/>
          <w:sz w:val="23"/>
          <w:szCs w:val="23"/>
          <w:highlight w:val="yellow"/>
          <w:shd w:val="clear" w:color="auto" w:fill="FFFFFF"/>
          <w:lang w:val="en-GB"/>
        </w:rPr>
        <w:t>Deschampsia</w:t>
      </w:r>
      <w:proofErr w:type="spellEnd"/>
      <w:r w:rsidRPr="003940C6">
        <w:rPr>
          <w:rFonts w:ascii="Arial" w:hAnsi="Arial" w:cs="Arial"/>
          <w:color w:val="2A2A2A"/>
          <w:sz w:val="23"/>
          <w:szCs w:val="23"/>
          <w:highlight w:val="yellow"/>
          <w:shd w:val="clear" w:color="auto" w:fill="FFFFFF"/>
          <w:lang w:val="en-GB"/>
        </w:rPr>
        <w:t xml:space="preserve"> dominated grass meadows received 14 percent of the annual use and approximately 50 percent of the early spring</w:t>
      </w:r>
      <w:r w:rsidRPr="00522C35">
        <w:rPr>
          <w:rFonts w:ascii="Arial" w:hAnsi="Arial" w:cs="Arial"/>
          <w:color w:val="2A2A2A"/>
          <w:sz w:val="23"/>
          <w:szCs w:val="23"/>
          <w:shd w:val="clear" w:color="auto" w:fill="FFFFFF"/>
          <w:lang w:val="en-GB"/>
        </w:rPr>
        <w:t xml:space="preserve"> and late fall use. Salix and herb-dominated </w:t>
      </w:r>
      <w:proofErr w:type="spellStart"/>
      <w:r w:rsidRPr="00522C35">
        <w:rPr>
          <w:rFonts w:ascii="Arial" w:hAnsi="Arial" w:cs="Arial"/>
          <w:color w:val="2A2A2A"/>
          <w:sz w:val="23"/>
          <w:szCs w:val="23"/>
          <w:shd w:val="clear" w:color="auto" w:fill="FFFFFF"/>
          <w:lang w:val="en-GB"/>
        </w:rPr>
        <w:t>snowbeds</w:t>
      </w:r>
      <w:proofErr w:type="spellEnd"/>
      <w:r w:rsidRPr="00522C35">
        <w:rPr>
          <w:rFonts w:ascii="Arial" w:hAnsi="Arial" w:cs="Arial"/>
          <w:color w:val="2A2A2A"/>
          <w:sz w:val="23"/>
          <w:szCs w:val="23"/>
          <w:shd w:val="clear" w:color="auto" w:fill="FFFFFF"/>
          <w:lang w:val="en-GB"/>
        </w:rPr>
        <w:t xml:space="preserve"> received 22.5 percent of the annual use and approximately 95 percent of the early and late summer use. Bogs received 3 percent of the annual use and approximately 45 percent of the midsummer use. Grazing succession followed a gradient of altitude, and aspect related to snow conditions and phenology of key Salix and </w:t>
      </w:r>
      <w:proofErr w:type="spellStart"/>
      <w:r w:rsidRPr="00522C35">
        <w:rPr>
          <w:rFonts w:ascii="Arial" w:hAnsi="Arial" w:cs="Arial"/>
          <w:color w:val="2A2A2A"/>
          <w:sz w:val="23"/>
          <w:szCs w:val="23"/>
          <w:shd w:val="clear" w:color="auto" w:fill="FFFFFF"/>
          <w:lang w:val="en-GB"/>
        </w:rPr>
        <w:t>Deschampsia</w:t>
      </w:r>
      <w:proofErr w:type="spellEnd"/>
      <w:r w:rsidRPr="00522C35">
        <w:rPr>
          <w:rFonts w:ascii="Arial" w:hAnsi="Arial" w:cs="Arial"/>
          <w:color w:val="2A2A2A"/>
          <w:sz w:val="23"/>
          <w:szCs w:val="23"/>
          <w:shd w:val="clear" w:color="auto" w:fill="FFFFFF"/>
          <w:lang w:val="en-GB"/>
        </w:rPr>
        <w:t xml:space="preserve"> spp. </w:t>
      </w:r>
      <w:r w:rsidRPr="003940C6">
        <w:rPr>
          <w:rFonts w:ascii="Arial" w:hAnsi="Arial" w:cs="Arial"/>
          <w:color w:val="2A2A2A"/>
          <w:sz w:val="23"/>
          <w:szCs w:val="23"/>
          <w:highlight w:val="yellow"/>
          <w:shd w:val="clear" w:color="auto" w:fill="FFFFFF"/>
          <w:lang w:val="en-GB"/>
        </w:rPr>
        <w:t>Concentration of feeding on the relatively level and low midwinter range (1,100 m altitude), changed towards south-facing slopes and higher altitudes (1,400 m altitude) during late winter and the early spring snowmelt</w:t>
      </w:r>
      <w:r w:rsidRPr="00522C35">
        <w:rPr>
          <w:rFonts w:ascii="Arial" w:hAnsi="Arial" w:cs="Arial"/>
          <w:color w:val="2A2A2A"/>
          <w:sz w:val="23"/>
          <w:szCs w:val="23"/>
          <w:shd w:val="clear" w:color="auto" w:fill="FFFFFF"/>
          <w:lang w:val="en-GB"/>
        </w:rPr>
        <w:t xml:space="preserve">. A reversed movement downward toward wet areas (1,200 m altitude) relates to emergence of dwarf </w:t>
      </w:r>
      <w:proofErr w:type="spellStart"/>
      <w:r w:rsidRPr="00522C35">
        <w:rPr>
          <w:rFonts w:ascii="Arial" w:hAnsi="Arial" w:cs="Arial"/>
          <w:color w:val="2A2A2A"/>
          <w:sz w:val="23"/>
          <w:szCs w:val="23"/>
          <w:shd w:val="clear" w:color="auto" w:fill="FFFFFF"/>
          <w:lang w:val="en-GB"/>
        </w:rPr>
        <w:t>Salices</w:t>
      </w:r>
      <w:proofErr w:type="spellEnd"/>
      <w:r w:rsidRPr="00522C35">
        <w:rPr>
          <w:rFonts w:ascii="Arial" w:hAnsi="Arial" w:cs="Arial"/>
          <w:color w:val="2A2A2A"/>
          <w:sz w:val="23"/>
          <w:szCs w:val="23"/>
          <w:shd w:val="clear" w:color="auto" w:fill="FFFFFF"/>
          <w:lang w:val="en-GB"/>
        </w:rPr>
        <w:t xml:space="preserve"> in bogs and along riverbanks. In late </w:t>
      </w:r>
      <w:proofErr w:type="gramStart"/>
      <w:r w:rsidRPr="00522C35">
        <w:rPr>
          <w:rFonts w:ascii="Arial" w:hAnsi="Arial" w:cs="Arial"/>
          <w:color w:val="2A2A2A"/>
          <w:sz w:val="23"/>
          <w:szCs w:val="23"/>
          <w:shd w:val="clear" w:color="auto" w:fill="FFFFFF"/>
          <w:lang w:val="en-GB"/>
        </w:rPr>
        <w:t>summer</w:t>
      </w:r>
      <w:proofErr w:type="gramEnd"/>
      <w:r w:rsidRPr="00522C35">
        <w:rPr>
          <w:rFonts w:ascii="Arial" w:hAnsi="Arial" w:cs="Arial"/>
          <w:color w:val="2A2A2A"/>
          <w:sz w:val="23"/>
          <w:szCs w:val="23"/>
          <w:shd w:val="clear" w:color="auto" w:fill="FFFFFF"/>
          <w:lang w:val="en-GB"/>
        </w:rPr>
        <w:t xml:space="preserve"> reindeer followed the spring growth of north-facing </w:t>
      </w:r>
      <w:proofErr w:type="spellStart"/>
      <w:r w:rsidRPr="00522C35">
        <w:rPr>
          <w:rFonts w:ascii="Arial" w:hAnsi="Arial" w:cs="Arial"/>
          <w:color w:val="2A2A2A"/>
          <w:sz w:val="23"/>
          <w:szCs w:val="23"/>
          <w:shd w:val="clear" w:color="auto" w:fill="FFFFFF"/>
          <w:lang w:val="en-GB"/>
        </w:rPr>
        <w:t>snowbeds</w:t>
      </w:r>
      <w:proofErr w:type="spellEnd"/>
      <w:r w:rsidRPr="00522C35">
        <w:rPr>
          <w:rFonts w:ascii="Arial" w:hAnsi="Arial" w:cs="Arial"/>
          <w:color w:val="2A2A2A"/>
          <w:sz w:val="23"/>
          <w:szCs w:val="23"/>
          <w:shd w:val="clear" w:color="auto" w:fill="FFFFFF"/>
          <w:lang w:val="en-GB"/>
        </w:rPr>
        <w:t xml:space="preserve"> upward toward the edge of glaciers (1,450 m altitude). Toward winter reindeer descended eastward to their winter range. Observations of feeding rates </w:t>
      </w:r>
      <w:proofErr w:type="gramStart"/>
      <w:r w:rsidRPr="00522C35">
        <w:rPr>
          <w:rFonts w:ascii="Arial" w:hAnsi="Arial" w:cs="Arial"/>
          <w:color w:val="2A2A2A"/>
          <w:sz w:val="23"/>
          <w:szCs w:val="23"/>
          <w:shd w:val="clear" w:color="auto" w:fill="FFFFFF"/>
          <w:lang w:val="en-GB"/>
        </w:rPr>
        <w:t>were used</w:t>
      </w:r>
      <w:proofErr w:type="gramEnd"/>
      <w:r w:rsidRPr="00522C35">
        <w:rPr>
          <w:rFonts w:ascii="Arial" w:hAnsi="Arial" w:cs="Arial"/>
          <w:color w:val="2A2A2A"/>
          <w:sz w:val="23"/>
          <w:szCs w:val="23"/>
          <w:shd w:val="clear" w:color="auto" w:fill="FFFFFF"/>
          <w:lang w:val="en-GB"/>
        </w:rPr>
        <w:t xml:space="preserve"> as an index of food intake. Statistical analysis revealed significant differences in eating rate related to slope and aspect in late winter and spring. The X2 test showed no significant differences in eating rates between age and sex groups. Between lactating females and other herd </w:t>
      </w:r>
      <w:proofErr w:type="gramStart"/>
      <w:r w:rsidRPr="00522C35">
        <w:rPr>
          <w:rFonts w:ascii="Arial" w:hAnsi="Arial" w:cs="Arial"/>
          <w:color w:val="2A2A2A"/>
          <w:sz w:val="23"/>
          <w:szCs w:val="23"/>
          <w:shd w:val="clear" w:color="auto" w:fill="FFFFFF"/>
          <w:lang w:val="en-GB"/>
        </w:rPr>
        <w:t>members</w:t>
      </w:r>
      <w:proofErr w:type="gramEnd"/>
      <w:r w:rsidRPr="00522C35">
        <w:rPr>
          <w:rFonts w:ascii="Arial" w:hAnsi="Arial" w:cs="Arial"/>
          <w:color w:val="2A2A2A"/>
          <w:sz w:val="23"/>
          <w:szCs w:val="23"/>
          <w:shd w:val="clear" w:color="auto" w:fill="FFFFFF"/>
          <w:lang w:val="en-GB"/>
        </w:rPr>
        <w:t xml:space="preserve"> a ''t'' test showed significant differences at post-calving</w:t>
      </w:r>
    </w:p>
    <w:p w14:paraId="2441A238" w14:textId="77777777" w:rsidR="00522C35" w:rsidRDefault="00522C35">
      <w:pPr>
        <w:rPr>
          <w:rFonts w:ascii="Arial" w:hAnsi="Arial" w:cs="Arial"/>
          <w:color w:val="2A2A2A"/>
          <w:sz w:val="23"/>
          <w:szCs w:val="23"/>
          <w:shd w:val="clear" w:color="auto" w:fill="FFFFFF"/>
          <w:lang w:val="en-GB"/>
        </w:rPr>
      </w:pPr>
      <w:r>
        <w:rPr>
          <w:rFonts w:ascii="Arial" w:hAnsi="Arial" w:cs="Arial"/>
          <w:color w:val="2A2A2A"/>
          <w:sz w:val="23"/>
          <w:szCs w:val="23"/>
          <w:shd w:val="clear" w:color="auto" w:fill="FFFFFF"/>
          <w:lang w:val="en-GB"/>
        </w:rPr>
        <w:t>--</w:t>
      </w:r>
    </w:p>
    <w:p w14:paraId="04F8F5CB" w14:textId="77777777" w:rsidR="00522C35" w:rsidRDefault="00522C35">
      <w:pPr>
        <w:rPr>
          <w:rFonts w:ascii="Arial" w:hAnsi="Arial" w:cs="Arial"/>
          <w:color w:val="2A2A2A"/>
          <w:sz w:val="23"/>
          <w:szCs w:val="23"/>
          <w:shd w:val="clear" w:color="auto" w:fill="FFFFFF"/>
          <w:lang w:val="en-GB"/>
        </w:rPr>
      </w:pPr>
      <w:proofErr w:type="spellStart"/>
      <w:r w:rsidRPr="00522C35">
        <w:rPr>
          <w:rFonts w:ascii="Arial" w:hAnsi="Arial" w:cs="Arial"/>
          <w:color w:val="2A2A2A"/>
          <w:sz w:val="23"/>
          <w:szCs w:val="23"/>
          <w:shd w:val="clear" w:color="auto" w:fill="FFFFFF"/>
          <w:lang w:val="en-GB"/>
        </w:rPr>
        <w:t>Chiariello</w:t>
      </w:r>
      <w:proofErr w:type="spellEnd"/>
      <w:r w:rsidRPr="00522C35">
        <w:rPr>
          <w:rFonts w:ascii="Arial" w:hAnsi="Arial" w:cs="Arial"/>
          <w:color w:val="2A2A2A"/>
          <w:sz w:val="23"/>
          <w:szCs w:val="23"/>
          <w:shd w:val="clear" w:color="auto" w:fill="FFFFFF"/>
          <w:lang w:val="en-GB"/>
        </w:rPr>
        <w:t xml:space="preserve"> N.R. (1989) Phenology of California Grasslands. In: </w:t>
      </w:r>
      <w:proofErr w:type="spellStart"/>
      <w:r w:rsidRPr="00522C35">
        <w:rPr>
          <w:rFonts w:ascii="Arial" w:hAnsi="Arial" w:cs="Arial"/>
          <w:color w:val="2A2A2A"/>
          <w:sz w:val="23"/>
          <w:szCs w:val="23"/>
          <w:shd w:val="clear" w:color="auto" w:fill="FFFFFF"/>
          <w:lang w:val="en-GB"/>
        </w:rPr>
        <w:t>Huenneke</w:t>
      </w:r>
      <w:proofErr w:type="spellEnd"/>
      <w:r w:rsidRPr="00522C35">
        <w:rPr>
          <w:rFonts w:ascii="Arial" w:hAnsi="Arial" w:cs="Arial"/>
          <w:color w:val="2A2A2A"/>
          <w:sz w:val="23"/>
          <w:szCs w:val="23"/>
          <w:shd w:val="clear" w:color="auto" w:fill="FFFFFF"/>
          <w:lang w:val="en-GB"/>
        </w:rPr>
        <w:t xml:space="preserve"> L.F., Mooney H.A. (</w:t>
      </w:r>
      <w:proofErr w:type="spellStart"/>
      <w:proofErr w:type="gramStart"/>
      <w:r w:rsidRPr="00522C35">
        <w:rPr>
          <w:rFonts w:ascii="Arial" w:hAnsi="Arial" w:cs="Arial"/>
          <w:color w:val="2A2A2A"/>
          <w:sz w:val="23"/>
          <w:szCs w:val="23"/>
          <w:shd w:val="clear" w:color="auto" w:fill="FFFFFF"/>
          <w:lang w:val="en-GB"/>
        </w:rPr>
        <w:t>eds</w:t>
      </w:r>
      <w:proofErr w:type="spellEnd"/>
      <w:proofErr w:type="gramEnd"/>
      <w:r w:rsidRPr="00522C35">
        <w:rPr>
          <w:rFonts w:ascii="Arial" w:hAnsi="Arial" w:cs="Arial"/>
          <w:color w:val="2A2A2A"/>
          <w:sz w:val="23"/>
          <w:szCs w:val="23"/>
          <w:shd w:val="clear" w:color="auto" w:fill="FFFFFF"/>
          <w:lang w:val="en-GB"/>
        </w:rPr>
        <w:t xml:space="preserve">) Grassland structure and function. Tasks for vegetation science, </w:t>
      </w:r>
      <w:proofErr w:type="spellStart"/>
      <w:r w:rsidRPr="00522C35">
        <w:rPr>
          <w:rFonts w:ascii="Arial" w:hAnsi="Arial" w:cs="Arial"/>
          <w:color w:val="2A2A2A"/>
          <w:sz w:val="23"/>
          <w:szCs w:val="23"/>
          <w:shd w:val="clear" w:color="auto" w:fill="FFFFFF"/>
          <w:lang w:val="en-GB"/>
        </w:rPr>
        <w:t>vol</w:t>
      </w:r>
      <w:proofErr w:type="spellEnd"/>
      <w:r w:rsidRPr="00522C35">
        <w:rPr>
          <w:rFonts w:ascii="Arial" w:hAnsi="Arial" w:cs="Arial"/>
          <w:color w:val="2A2A2A"/>
          <w:sz w:val="23"/>
          <w:szCs w:val="23"/>
          <w:shd w:val="clear" w:color="auto" w:fill="FFFFFF"/>
          <w:lang w:val="en-GB"/>
        </w:rPr>
        <w:t xml:space="preserve"> 20. Springer, Dordrecht</w:t>
      </w:r>
    </w:p>
    <w:p w14:paraId="5DFA301B" w14:textId="77777777" w:rsidR="00522C35" w:rsidRDefault="00522C35" w:rsidP="00522C35">
      <w:pPr>
        <w:rPr>
          <w:rFonts w:ascii="Arial" w:hAnsi="Arial" w:cs="Arial"/>
          <w:color w:val="2A2A2A"/>
          <w:sz w:val="23"/>
          <w:szCs w:val="23"/>
          <w:shd w:val="clear" w:color="auto" w:fill="FFFFFF"/>
          <w:lang w:val="en-GB"/>
        </w:rPr>
      </w:pPr>
      <w:r w:rsidRPr="00522C35">
        <w:rPr>
          <w:rFonts w:ascii="Arial" w:hAnsi="Arial" w:cs="Arial"/>
          <w:color w:val="2A2A2A"/>
          <w:sz w:val="23"/>
          <w:szCs w:val="23"/>
          <w:shd w:val="clear" w:color="auto" w:fill="FFFFFF"/>
          <w:lang w:val="en-GB"/>
        </w:rPr>
        <w:t xml:space="preserve">By comparison with many other plant com-munities, the annual grasslands of California </w:t>
      </w:r>
      <w:proofErr w:type="gramStart"/>
      <w:r w:rsidRPr="00522C35">
        <w:rPr>
          <w:rFonts w:ascii="Arial" w:hAnsi="Arial" w:cs="Arial"/>
          <w:color w:val="2A2A2A"/>
          <w:sz w:val="23"/>
          <w:szCs w:val="23"/>
          <w:shd w:val="clear" w:color="auto" w:fill="FFFFFF"/>
          <w:lang w:val="en-GB"/>
        </w:rPr>
        <w:t>are considered</w:t>
      </w:r>
      <w:proofErr w:type="gramEnd"/>
      <w:r w:rsidRPr="00522C35">
        <w:rPr>
          <w:rFonts w:ascii="Arial" w:hAnsi="Arial" w:cs="Arial"/>
          <w:color w:val="2A2A2A"/>
          <w:sz w:val="23"/>
          <w:szCs w:val="23"/>
          <w:shd w:val="clear" w:color="auto" w:fill="FFFFFF"/>
          <w:lang w:val="en-GB"/>
        </w:rPr>
        <w:t xml:space="preserve"> </w:t>
      </w:r>
      <w:proofErr w:type="spellStart"/>
      <w:r w:rsidRPr="00522C35">
        <w:rPr>
          <w:rFonts w:ascii="Arial" w:hAnsi="Arial" w:cs="Arial"/>
          <w:color w:val="2A2A2A"/>
          <w:sz w:val="23"/>
          <w:szCs w:val="23"/>
          <w:shd w:val="clear" w:color="auto" w:fill="FFFFFF"/>
          <w:lang w:val="en-GB"/>
        </w:rPr>
        <w:t>phenologically</w:t>
      </w:r>
      <w:proofErr w:type="spellEnd"/>
      <w:r w:rsidRPr="00522C35">
        <w:rPr>
          <w:rFonts w:ascii="Arial" w:hAnsi="Arial" w:cs="Arial"/>
          <w:color w:val="2A2A2A"/>
          <w:sz w:val="23"/>
          <w:szCs w:val="23"/>
          <w:shd w:val="clear" w:color="auto" w:fill="FFFFFF"/>
          <w:lang w:val="en-GB"/>
        </w:rPr>
        <w:t xml:space="preserve"> simple and relatively uniform. Both within and among different grasslands, the relationship between climate and plant growth and development follows a repeated pattern:</w:t>
      </w:r>
      <w:r>
        <w:rPr>
          <w:rFonts w:ascii="Arial" w:hAnsi="Arial" w:cs="Arial"/>
          <w:color w:val="2A2A2A"/>
          <w:sz w:val="23"/>
          <w:szCs w:val="23"/>
          <w:shd w:val="clear" w:color="auto" w:fill="FFFFFF"/>
          <w:lang w:val="en-GB"/>
        </w:rPr>
        <w:t xml:space="preserve"> </w:t>
      </w:r>
      <w:r w:rsidRPr="00522C35">
        <w:rPr>
          <w:rFonts w:ascii="Arial" w:hAnsi="Arial" w:cs="Arial"/>
          <w:color w:val="2A2A2A"/>
          <w:sz w:val="23"/>
          <w:szCs w:val="23"/>
          <w:shd w:val="clear" w:color="auto" w:fill="FFFFFF"/>
          <w:lang w:val="en-GB"/>
        </w:rPr>
        <w:t xml:space="preserve">The herbaceous vegetation (of the San Joaquin Experimental Range) is </w:t>
      </w:r>
      <w:proofErr w:type="gramStart"/>
      <w:r w:rsidRPr="00522C35">
        <w:rPr>
          <w:rFonts w:ascii="Arial" w:hAnsi="Arial" w:cs="Arial"/>
          <w:color w:val="2A2A2A"/>
          <w:sz w:val="23"/>
          <w:szCs w:val="23"/>
          <w:shd w:val="clear" w:color="auto" w:fill="FFFFFF"/>
          <w:lang w:val="en-GB"/>
        </w:rPr>
        <w:t>almost entirely annual</w:t>
      </w:r>
      <w:proofErr w:type="gramEnd"/>
      <w:r w:rsidRPr="00522C35">
        <w:rPr>
          <w:rFonts w:ascii="Arial" w:hAnsi="Arial" w:cs="Arial"/>
          <w:color w:val="2A2A2A"/>
          <w:sz w:val="23"/>
          <w:szCs w:val="23"/>
          <w:shd w:val="clear" w:color="auto" w:fill="FFFFFF"/>
          <w:lang w:val="en-GB"/>
        </w:rPr>
        <w:t xml:space="preserve"> plants, most of which germinate after the first rains in the fall, grow slowly during winter, then grow rapidly in spring. The annual plants mature and die when soil water </w:t>
      </w:r>
      <w:proofErr w:type="gramStart"/>
      <w:r w:rsidRPr="00522C35">
        <w:rPr>
          <w:rFonts w:ascii="Arial" w:hAnsi="Arial" w:cs="Arial"/>
          <w:color w:val="2A2A2A"/>
          <w:sz w:val="23"/>
          <w:szCs w:val="23"/>
          <w:shd w:val="clear" w:color="auto" w:fill="FFFFFF"/>
          <w:lang w:val="en-GB"/>
        </w:rPr>
        <w:t>becomes depleted</w:t>
      </w:r>
      <w:proofErr w:type="gramEnd"/>
      <w:r w:rsidRPr="00522C35">
        <w:rPr>
          <w:rFonts w:ascii="Arial" w:hAnsi="Arial" w:cs="Arial"/>
          <w:color w:val="2A2A2A"/>
          <w:sz w:val="23"/>
          <w:szCs w:val="23"/>
          <w:shd w:val="clear" w:color="auto" w:fill="FFFFFF"/>
          <w:lang w:val="en-GB"/>
        </w:rPr>
        <w:t>, usually in April or May (</w:t>
      </w:r>
      <w:proofErr w:type="spellStart"/>
      <w:r w:rsidRPr="00522C35">
        <w:rPr>
          <w:rFonts w:ascii="Arial" w:hAnsi="Arial" w:cs="Arial"/>
          <w:color w:val="2A2A2A"/>
          <w:sz w:val="23"/>
          <w:szCs w:val="23"/>
          <w:shd w:val="clear" w:color="auto" w:fill="FFFFFF"/>
          <w:lang w:val="en-GB"/>
        </w:rPr>
        <w:t>Woodmansee</w:t>
      </w:r>
      <w:proofErr w:type="spellEnd"/>
      <w:r w:rsidRPr="00522C35">
        <w:rPr>
          <w:rFonts w:ascii="Arial" w:hAnsi="Arial" w:cs="Arial"/>
          <w:color w:val="2A2A2A"/>
          <w:sz w:val="23"/>
          <w:szCs w:val="23"/>
          <w:shd w:val="clear" w:color="auto" w:fill="FFFFFF"/>
          <w:lang w:val="en-GB"/>
        </w:rPr>
        <w:t xml:space="preserve"> and Duncan 1980).</w:t>
      </w:r>
      <w:r>
        <w:rPr>
          <w:rFonts w:ascii="Arial" w:hAnsi="Arial" w:cs="Arial"/>
          <w:color w:val="2A2A2A"/>
          <w:sz w:val="23"/>
          <w:szCs w:val="23"/>
          <w:shd w:val="clear" w:color="auto" w:fill="FFFFFF"/>
          <w:lang w:val="en-GB"/>
        </w:rPr>
        <w:t xml:space="preserve"> </w:t>
      </w:r>
      <w:r w:rsidRPr="00522C35">
        <w:rPr>
          <w:rFonts w:ascii="Arial" w:hAnsi="Arial" w:cs="Arial"/>
          <w:color w:val="2A2A2A"/>
          <w:sz w:val="23"/>
          <w:szCs w:val="23"/>
          <w:shd w:val="clear" w:color="auto" w:fill="FFFFFF"/>
          <w:lang w:val="en-GB"/>
        </w:rPr>
        <w:t>The seasonal growth pattern (at the Hopland Field Station) proceeds from germination, usually in November, through a short period of moderate growth, then a longer winter period when growth is slow, and finally ends with about a month of fast growth</w:t>
      </w:r>
      <w:r>
        <w:rPr>
          <w:rFonts w:ascii="Arial" w:hAnsi="Arial" w:cs="Arial"/>
          <w:color w:val="2A2A2A"/>
          <w:sz w:val="23"/>
          <w:szCs w:val="23"/>
          <w:shd w:val="clear" w:color="auto" w:fill="FFFFFF"/>
          <w:lang w:val="en-GB"/>
        </w:rPr>
        <w:t xml:space="preserve"> in April and May (Heady 1958). </w:t>
      </w:r>
      <w:r w:rsidRPr="00522C35">
        <w:rPr>
          <w:rFonts w:ascii="Arial" w:hAnsi="Arial" w:cs="Arial"/>
          <w:color w:val="2A2A2A"/>
          <w:sz w:val="23"/>
          <w:szCs w:val="23"/>
          <w:shd w:val="clear" w:color="auto" w:fill="FFFFFF"/>
          <w:lang w:val="en-GB"/>
        </w:rPr>
        <w:t xml:space="preserve">In California annual grasslands, flowering and seed set occur during spring when soil water conditions change rapidly due to increased plant growth, high evapotranspiration, and infrequent rainfall… (Ewing and </w:t>
      </w:r>
      <w:proofErr w:type="spellStart"/>
      <w:r w:rsidRPr="00522C35">
        <w:rPr>
          <w:rFonts w:ascii="Arial" w:hAnsi="Arial" w:cs="Arial"/>
          <w:color w:val="2A2A2A"/>
          <w:sz w:val="23"/>
          <w:szCs w:val="23"/>
          <w:shd w:val="clear" w:color="auto" w:fill="FFFFFF"/>
          <w:lang w:val="en-GB"/>
        </w:rPr>
        <w:t>Menke</w:t>
      </w:r>
      <w:proofErr w:type="spellEnd"/>
      <w:r w:rsidRPr="00522C35">
        <w:rPr>
          <w:rFonts w:ascii="Arial" w:hAnsi="Arial" w:cs="Arial"/>
          <w:color w:val="2A2A2A"/>
          <w:sz w:val="23"/>
          <w:szCs w:val="23"/>
          <w:shd w:val="clear" w:color="auto" w:fill="FFFFFF"/>
          <w:lang w:val="en-GB"/>
        </w:rPr>
        <w:t xml:space="preserve"> 1983b).(Plants of the annual grasslands) begin to germinate in the fall with the first rains exceeding about 15 mm, grow slowly through the winter, grow rapidly in the spring, and mature between late April and June (Heady 1977).</w:t>
      </w:r>
    </w:p>
    <w:p w14:paraId="621460F6" w14:textId="77777777" w:rsidR="00522C35" w:rsidRDefault="00522C35">
      <w:pPr>
        <w:rPr>
          <w:rFonts w:ascii="Arial" w:hAnsi="Arial" w:cs="Arial"/>
          <w:color w:val="2A2A2A"/>
          <w:sz w:val="23"/>
          <w:szCs w:val="23"/>
          <w:shd w:val="clear" w:color="auto" w:fill="FFFFFF"/>
          <w:lang w:val="en-GB"/>
        </w:rPr>
      </w:pPr>
      <w:r>
        <w:rPr>
          <w:rFonts w:ascii="Arial" w:hAnsi="Arial" w:cs="Arial"/>
          <w:color w:val="2A2A2A"/>
          <w:sz w:val="23"/>
          <w:szCs w:val="23"/>
          <w:shd w:val="clear" w:color="auto" w:fill="FFFFFF"/>
          <w:lang w:val="en-GB"/>
        </w:rPr>
        <w:lastRenderedPageBreak/>
        <w:t>--</w:t>
      </w:r>
    </w:p>
    <w:p w14:paraId="42D89F73" w14:textId="77777777" w:rsidR="003A73B5" w:rsidRDefault="003A73B5">
      <w:pPr>
        <w:rPr>
          <w:rFonts w:ascii="Arial" w:hAnsi="Arial" w:cs="Arial"/>
          <w:color w:val="2A2A2A"/>
          <w:sz w:val="23"/>
          <w:szCs w:val="23"/>
          <w:shd w:val="clear" w:color="auto" w:fill="FFFFFF"/>
          <w:lang w:val="en-GB"/>
        </w:rPr>
      </w:pPr>
      <w:r w:rsidRPr="003A73B5">
        <w:rPr>
          <w:rFonts w:ascii="Arial" w:hAnsi="Arial" w:cs="Arial"/>
          <w:color w:val="2A2A2A"/>
          <w:sz w:val="23"/>
          <w:szCs w:val="23"/>
          <w:shd w:val="clear" w:color="auto" w:fill="FFFFFF"/>
          <w:lang w:val="en-GB"/>
        </w:rPr>
        <w:t xml:space="preserve">Sanderson, M.A. and </w:t>
      </w:r>
      <w:proofErr w:type="spellStart"/>
      <w:r w:rsidRPr="003A73B5">
        <w:rPr>
          <w:rFonts w:ascii="Arial" w:hAnsi="Arial" w:cs="Arial"/>
          <w:color w:val="2A2A2A"/>
          <w:sz w:val="23"/>
          <w:szCs w:val="23"/>
          <w:shd w:val="clear" w:color="auto" w:fill="FFFFFF"/>
          <w:lang w:val="en-GB"/>
        </w:rPr>
        <w:t>Wedin</w:t>
      </w:r>
      <w:proofErr w:type="spellEnd"/>
      <w:r w:rsidRPr="003A73B5">
        <w:rPr>
          <w:rFonts w:ascii="Arial" w:hAnsi="Arial" w:cs="Arial"/>
          <w:color w:val="2A2A2A"/>
          <w:sz w:val="23"/>
          <w:szCs w:val="23"/>
          <w:shd w:val="clear" w:color="auto" w:fill="FFFFFF"/>
          <w:lang w:val="en-GB"/>
        </w:rPr>
        <w:t xml:space="preserve">, W.F. (1989), </w:t>
      </w:r>
      <w:proofErr w:type="spellStart"/>
      <w:r w:rsidRPr="003A73B5">
        <w:rPr>
          <w:rFonts w:ascii="Arial" w:hAnsi="Arial" w:cs="Arial"/>
          <w:color w:val="2A2A2A"/>
          <w:sz w:val="23"/>
          <w:szCs w:val="23"/>
          <w:shd w:val="clear" w:color="auto" w:fill="FFFFFF"/>
          <w:lang w:val="en-GB"/>
        </w:rPr>
        <w:t>Phenological</w:t>
      </w:r>
      <w:proofErr w:type="spellEnd"/>
      <w:r w:rsidRPr="003A73B5">
        <w:rPr>
          <w:rFonts w:ascii="Arial" w:hAnsi="Arial" w:cs="Arial"/>
          <w:color w:val="2A2A2A"/>
          <w:sz w:val="23"/>
          <w:szCs w:val="23"/>
          <w:shd w:val="clear" w:color="auto" w:fill="FFFFFF"/>
          <w:lang w:val="en-GB"/>
        </w:rPr>
        <w:t xml:space="preserve"> Stage and Herbage Quality Relationships in Temperate Grasses and Legumes. </w:t>
      </w:r>
      <w:proofErr w:type="spellStart"/>
      <w:r w:rsidRPr="003A73B5">
        <w:rPr>
          <w:rFonts w:ascii="Arial" w:hAnsi="Arial" w:cs="Arial"/>
          <w:color w:val="2A2A2A"/>
          <w:sz w:val="23"/>
          <w:szCs w:val="23"/>
          <w:shd w:val="clear" w:color="auto" w:fill="FFFFFF"/>
          <w:lang w:val="en-GB"/>
        </w:rPr>
        <w:t>Agron</w:t>
      </w:r>
      <w:proofErr w:type="spellEnd"/>
      <w:r w:rsidRPr="003A73B5">
        <w:rPr>
          <w:rFonts w:ascii="Arial" w:hAnsi="Arial" w:cs="Arial"/>
          <w:color w:val="2A2A2A"/>
          <w:sz w:val="23"/>
          <w:szCs w:val="23"/>
          <w:shd w:val="clear" w:color="auto" w:fill="FFFFFF"/>
          <w:lang w:val="en-GB"/>
        </w:rPr>
        <w:t>. J., 81: 864-869. doi:10.2134/agronj1989.00021962008100060005x</w:t>
      </w:r>
    </w:p>
    <w:p w14:paraId="0B69CFB4" w14:textId="77777777" w:rsidR="003A73B5" w:rsidRDefault="003A73B5">
      <w:pPr>
        <w:rPr>
          <w:rFonts w:ascii="Arial" w:hAnsi="Arial" w:cs="Arial"/>
          <w:color w:val="2A2A2A"/>
          <w:sz w:val="23"/>
          <w:szCs w:val="23"/>
          <w:shd w:val="clear" w:color="auto" w:fill="FFFFFF"/>
          <w:lang w:val="en-GB"/>
        </w:rPr>
      </w:pPr>
      <w:proofErr w:type="spellStart"/>
      <w:r w:rsidRPr="003A73B5">
        <w:rPr>
          <w:rFonts w:ascii="Arial" w:hAnsi="Arial" w:cs="Arial"/>
          <w:color w:val="2A2A2A"/>
          <w:sz w:val="23"/>
          <w:szCs w:val="23"/>
          <w:shd w:val="clear" w:color="auto" w:fill="FFFFFF"/>
          <w:lang w:val="en-GB"/>
        </w:rPr>
        <w:t>Phenological</w:t>
      </w:r>
      <w:proofErr w:type="spellEnd"/>
      <w:r w:rsidRPr="003A73B5">
        <w:rPr>
          <w:rFonts w:ascii="Arial" w:hAnsi="Arial" w:cs="Arial"/>
          <w:color w:val="2A2A2A"/>
          <w:sz w:val="23"/>
          <w:szCs w:val="23"/>
          <w:shd w:val="clear" w:color="auto" w:fill="FFFFFF"/>
          <w:lang w:val="en-GB"/>
        </w:rPr>
        <w:t xml:space="preserve"> indexes that account for variation in </w:t>
      </w:r>
      <w:proofErr w:type="spellStart"/>
      <w:r w:rsidRPr="003A73B5">
        <w:rPr>
          <w:rFonts w:ascii="Arial" w:hAnsi="Arial" w:cs="Arial"/>
          <w:color w:val="2A2A2A"/>
          <w:sz w:val="23"/>
          <w:szCs w:val="23"/>
          <w:shd w:val="clear" w:color="auto" w:fill="FFFFFF"/>
          <w:lang w:val="en-GB"/>
        </w:rPr>
        <w:t>chemicál</w:t>
      </w:r>
      <w:proofErr w:type="spellEnd"/>
      <w:r w:rsidRPr="003A73B5">
        <w:rPr>
          <w:rFonts w:ascii="Arial" w:hAnsi="Arial" w:cs="Arial"/>
          <w:color w:val="2A2A2A"/>
          <w:sz w:val="23"/>
          <w:szCs w:val="23"/>
          <w:shd w:val="clear" w:color="auto" w:fill="FFFFFF"/>
          <w:lang w:val="en-GB"/>
        </w:rPr>
        <w:t xml:space="preserve"> composition of herbage would be valuable to farmers and researchers. Hence, the objective of this study was to relate neutral detergent </w:t>
      </w:r>
      <w:proofErr w:type="spellStart"/>
      <w:r w:rsidRPr="003A73B5">
        <w:rPr>
          <w:rFonts w:ascii="Arial" w:hAnsi="Arial" w:cs="Arial"/>
          <w:color w:val="2A2A2A"/>
          <w:sz w:val="23"/>
          <w:szCs w:val="23"/>
          <w:shd w:val="clear" w:color="auto" w:fill="FFFFFF"/>
          <w:lang w:val="en-GB"/>
        </w:rPr>
        <w:t>fiber</w:t>
      </w:r>
      <w:proofErr w:type="spellEnd"/>
      <w:r w:rsidRPr="003A73B5">
        <w:rPr>
          <w:rFonts w:ascii="Arial" w:hAnsi="Arial" w:cs="Arial"/>
          <w:color w:val="2A2A2A"/>
          <w:sz w:val="23"/>
          <w:szCs w:val="23"/>
          <w:shd w:val="clear" w:color="auto" w:fill="FFFFFF"/>
          <w:lang w:val="en-GB"/>
        </w:rPr>
        <w:t xml:space="preserve"> (NDF) and in vitro digestible dry</w:t>
      </w:r>
      <w:r w:rsidRPr="003A73B5">
        <w:rPr>
          <w:rFonts w:ascii="Cambria Math" w:hAnsi="Cambria Math" w:cs="Cambria Math"/>
          <w:color w:val="2A2A2A"/>
          <w:sz w:val="23"/>
          <w:szCs w:val="23"/>
          <w:shd w:val="clear" w:color="auto" w:fill="FFFFFF"/>
          <w:lang w:val="en-GB"/>
        </w:rPr>
        <w:t>‐</w:t>
      </w:r>
      <w:r w:rsidRPr="003A73B5">
        <w:rPr>
          <w:rFonts w:ascii="Arial" w:hAnsi="Arial" w:cs="Arial"/>
          <w:color w:val="2A2A2A"/>
          <w:sz w:val="23"/>
          <w:szCs w:val="23"/>
          <w:shd w:val="clear" w:color="auto" w:fill="FFFFFF"/>
          <w:lang w:val="en-GB"/>
        </w:rPr>
        <w:t>matter (IVDDM) concentrations in herbage and plant parts of alfalfa (</w:t>
      </w:r>
      <w:proofErr w:type="spellStart"/>
      <w:r w:rsidRPr="003A73B5">
        <w:rPr>
          <w:rFonts w:ascii="Arial" w:hAnsi="Arial" w:cs="Arial"/>
          <w:color w:val="2A2A2A"/>
          <w:sz w:val="23"/>
          <w:szCs w:val="23"/>
          <w:shd w:val="clear" w:color="auto" w:fill="FFFFFF"/>
          <w:lang w:val="en-GB"/>
        </w:rPr>
        <w:t>Medicago</w:t>
      </w:r>
      <w:proofErr w:type="spellEnd"/>
      <w:r w:rsidRPr="003A73B5">
        <w:rPr>
          <w:rFonts w:ascii="Arial" w:hAnsi="Arial" w:cs="Arial"/>
          <w:color w:val="2A2A2A"/>
          <w:sz w:val="23"/>
          <w:szCs w:val="23"/>
          <w:shd w:val="clear" w:color="auto" w:fill="FFFFFF"/>
          <w:lang w:val="en-GB"/>
        </w:rPr>
        <w:t xml:space="preserve"> </w:t>
      </w:r>
      <w:proofErr w:type="spellStart"/>
      <w:r w:rsidRPr="003A73B5">
        <w:rPr>
          <w:rFonts w:ascii="Arial" w:hAnsi="Arial" w:cs="Arial"/>
          <w:color w:val="2A2A2A"/>
          <w:sz w:val="23"/>
          <w:szCs w:val="23"/>
          <w:shd w:val="clear" w:color="auto" w:fill="FFFFFF"/>
          <w:lang w:val="en-GB"/>
        </w:rPr>
        <w:t>sativa</w:t>
      </w:r>
      <w:proofErr w:type="spellEnd"/>
      <w:r w:rsidRPr="003A73B5">
        <w:rPr>
          <w:rFonts w:ascii="Arial" w:hAnsi="Arial" w:cs="Arial"/>
          <w:color w:val="2A2A2A"/>
          <w:sz w:val="23"/>
          <w:szCs w:val="23"/>
          <w:shd w:val="clear" w:color="auto" w:fill="FFFFFF"/>
          <w:lang w:val="en-GB"/>
        </w:rPr>
        <w:t xml:space="preserve"> L.), red clover (</w:t>
      </w:r>
      <w:proofErr w:type="spellStart"/>
      <w:r w:rsidRPr="003A73B5">
        <w:rPr>
          <w:rFonts w:ascii="Arial" w:hAnsi="Arial" w:cs="Arial"/>
          <w:color w:val="2A2A2A"/>
          <w:sz w:val="23"/>
          <w:szCs w:val="23"/>
          <w:shd w:val="clear" w:color="auto" w:fill="FFFFFF"/>
          <w:lang w:val="en-GB"/>
        </w:rPr>
        <w:t>Trifolium</w:t>
      </w:r>
      <w:proofErr w:type="spellEnd"/>
      <w:r w:rsidRPr="003A73B5">
        <w:rPr>
          <w:rFonts w:ascii="Arial" w:hAnsi="Arial" w:cs="Arial"/>
          <w:color w:val="2A2A2A"/>
          <w:sz w:val="23"/>
          <w:szCs w:val="23"/>
          <w:shd w:val="clear" w:color="auto" w:fill="FFFFFF"/>
          <w:lang w:val="en-GB"/>
        </w:rPr>
        <w:t xml:space="preserve"> </w:t>
      </w:r>
      <w:proofErr w:type="spellStart"/>
      <w:r w:rsidRPr="003A73B5">
        <w:rPr>
          <w:rFonts w:ascii="Arial" w:hAnsi="Arial" w:cs="Arial"/>
          <w:color w:val="2A2A2A"/>
          <w:sz w:val="23"/>
          <w:szCs w:val="23"/>
          <w:shd w:val="clear" w:color="auto" w:fill="FFFFFF"/>
          <w:lang w:val="en-GB"/>
        </w:rPr>
        <w:t>pratense</w:t>
      </w:r>
      <w:proofErr w:type="spellEnd"/>
      <w:r w:rsidRPr="003A73B5">
        <w:rPr>
          <w:rFonts w:ascii="Arial" w:hAnsi="Arial" w:cs="Arial"/>
          <w:color w:val="2A2A2A"/>
          <w:sz w:val="23"/>
          <w:szCs w:val="23"/>
          <w:shd w:val="clear" w:color="auto" w:fill="FFFFFF"/>
          <w:lang w:val="en-GB"/>
        </w:rPr>
        <w:t xml:space="preserve"> L.), timothy (</w:t>
      </w:r>
      <w:proofErr w:type="spellStart"/>
      <w:r w:rsidRPr="003A73B5">
        <w:rPr>
          <w:rFonts w:ascii="Arial" w:hAnsi="Arial" w:cs="Arial"/>
          <w:color w:val="2A2A2A"/>
          <w:sz w:val="23"/>
          <w:szCs w:val="23"/>
          <w:shd w:val="clear" w:color="auto" w:fill="FFFFFF"/>
          <w:lang w:val="en-GB"/>
        </w:rPr>
        <w:t>Phleum</w:t>
      </w:r>
      <w:proofErr w:type="spellEnd"/>
      <w:r w:rsidRPr="003A73B5">
        <w:rPr>
          <w:rFonts w:ascii="Arial" w:hAnsi="Arial" w:cs="Arial"/>
          <w:color w:val="2A2A2A"/>
          <w:sz w:val="23"/>
          <w:szCs w:val="23"/>
          <w:shd w:val="clear" w:color="auto" w:fill="FFFFFF"/>
          <w:lang w:val="en-GB"/>
        </w:rPr>
        <w:t xml:space="preserve"> </w:t>
      </w:r>
      <w:proofErr w:type="spellStart"/>
      <w:r w:rsidRPr="003A73B5">
        <w:rPr>
          <w:rFonts w:ascii="Arial" w:hAnsi="Arial" w:cs="Arial"/>
          <w:color w:val="2A2A2A"/>
          <w:sz w:val="23"/>
          <w:szCs w:val="23"/>
          <w:shd w:val="clear" w:color="auto" w:fill="FFFFFF"/>
          <w:lang w:val="en-GB"/>
        </w:rPr>
        <w:t>pratense</w:t>
      </w:r>
      <w:proofErr w:type="spellEnd"/>
      <w:r w:rsidRPr="003A73B5">
        <w:rPr>
          <w:rFonts w:ascii="Arial" w:hAnsi="Arial" w:cs="Arial"/>
          <w:color w:val="2A2A2A"/>
          <w:sz w:val="23"/>
          <w:szCs w:val="23"/>
          <w:shd w:val="clear" w:color="auto" w:fill="FFFFFF"/>
          <w:lang w:val="en-GB"/>
        </w:rPr>
        <w:t xml:space="preserve"> L.), and smooth </w:t>
      </w:r>
      <w:proofErr w:type="spellStart"/>
      <w:r w:rsidRPr="003A73B5">
        <w:rPr>
          <w:rFonts w:ascii="Arial" w:hAnsi="Arial" w:cs="Arial"/>
          <w:color w:val="2A2A2A"/>
          <w:sz w:val="23"/>
          <w:szCs w:val="23"/>
          <w:shd w:val="clear" w:color="auto" w:fill="FFFFFF"/>
          <w:lang w:val="en-GB"/>
        </w:rPr>
        <w:t>bromegrass</w:t>
      </w:r>
      <w:proofErr w:type="spellEnd"/>
      <w:r w:rsidRPr="003A73B5">
        <w:rPr>
          <w:rFonts w:ascii="Arial" w:hAnsi="Arial" w:cs="Arial"/>
          <w:color w:val="2A2A2A"/>
          <w:sz w:val="23"/>
          <w:szCs w:val="23"/>
          <w:shd w:val="clear" w:color="auto" w:fill="FFFFFF"/>
          <w:lang w:val="en-GB"/>
        </w:rPr>
        <w:t xml:space="preserve"> (</w:t>
      </w:r>
      <w:proofErr w:type="spellStart"/>
      <w:r w:rsidRPr="003A73B5">
        <w:rPr>
          <w:rFonts w:ascii="Arial" w:hAnsi="Arial" w:cs="Arial"/>
          <w:color w:val="2A2A2A"/>
          <w:sz w:val="23"/>
          <w:szCs w:val="23"/>
          <w:shd w:val="clear" w:color="auto" w:fill="FFFFFF"/>
          <w:lang w:val="en-GB"/>
        </w:rPr>
        <w:t>Bromus</w:t>
      </w:r>
      <w:proofErr w:type="spellEnd"/>
      <w:r w:rsidRPr="003A73B5">
        <w:rPr>
          <w:rFonts w:ascii="Arial" w:hAnsi="Arial" w:cs="Arial"/>
          <w:color w:val="2A2A2A"/>
          <w:sz w:val="23"/>
          <w:szCs w:val="23"/>
          <w:shd w:val="clear" w:color="auto" w:fill="FFFFFF"/>
          <w:lang w:val="en-GB"/>
        </w:rPr>
        <w:t xml:space="preserve"> </w:t>
      </w:r>
      <w:proofErr w:type="spellStart"/>
      <w:r w:rsidRPr="003A73B5">
        <w:rPr>
          <w:rFonts w:ascii="Arial" w:hAnsi="Arial" w:cs="Arial"/>
          <w:color w:val="2A2A2A"/>
          <w:sz w:val="23"/>
          <w:szCs w:val="23"/>
          <w:shd w:val="clear" w:color="auto" w:fill="FFFFFF"/>
          <w:lang w:val="en-GB"/>
        </w:rPr>
        <w:t>inermis</w:t>
      </w:r>
      <w:proofErr w:type="spellEnd"/>
      <w:r w:rsidRPr="003A73B5">
        <w:rPr>
          <w:rFonts w:ascii="Arial" w:hAnsi="Arial" w:cs="Arial"/>
          <w:color w:val="2A2A2A"/>
          <w:sz w:val="23"/>
          <w:szCs w:val="23"/>
          <w:shd w:val="clear" w:color="auto" w:fill="FFFFFF"/>
          <w:lang w:val="en-GB"/>
        </w:rPr>
        <w:t xml:space="preserve"> </w:t>
      </w:r>
      <w:proofErr w:type="spellStart"/>
      <w:r w:rsidRPr="003A73B5">
        <w:rPr>
          <w:rFonts w:ascii="Arial" w:hAnsi="Arial" w:cs="Arial"/>
          <w:color w:val="2A2A2A"/>
          <w:sz w:val="23"/>
          <w:szCs w:val="23"/>
          <w:shd w:val="clear" w:color="auto" w:fill="FFFFFF"/>
          <w:lang w:val="en-GB"/>
        </w:rPr>
        <w:t>Leyss</w:t>
      </w:r>
      <w:proofErr w:type="spellEnd"/>
      <w:r w:rsidRPr="003A73B5">
        <w:rPr>
          <w:rFonts w:ascii="Arial" w:hAnsi="Arial" w:cs="Arial"/>
          <w:color w:val="2A2A2A"/>
          <w:sz w:val="23"/>
          <w:szCs w:val="23"/>
          <w:shd w:val="clear" w:color="auto" w:fill="FFFFFF"/>
          <w:lang w:val="en-GB"/>
        </w:rPr>
        <w:t xml:space="preserve">.) to </w:t>
      </w:r>
      <w:proofErr w:type="spellStart"/>
      <w:r w:rsidRPr="003A73B5">
        <w:rPr>
          <w:rFonts w:ascii="Arial" w:hAnsi="Arial" w:cs="Arial"/>
          <w:color w:val="2A2A2A"/>
          <w:sz w:val="23"/>
          <w:szCs w:val="23"/>
          <w:shd w:val="clear" w:color="auto" w:fill="FFFFFF"/>
          <w:lang w:val="en-GB"/>
        </w:rPr>
        <w:t>phenological</w:t>
      </w:r>
      <w:proofErr w:type="spellEnd"/>
      <w:r w:rsidRPr="003A73B5">
        <w:rPr>
          <w:rFonts w:ascii="Arial" w:hAnsi="Arial" w:cs="Arial"/>
          <w:color w:val="2A2A2A"/>
          <w:sz w:val="23"/>
          <w:szCs w:val="23"/>
          <w:shd w:val="clear" w:color="auto" w:fill="FFFFFF"/>
          <w:lang w:val="en-GB"/>
        </w:rPr>
        <w:t xml:space="preserve"> development of each species. Four replicate plots of each species were harvested at four 2</w:t>
      </w:r>
      <w:r w:rsidRPr="003A73B5">
        <w:rPr>
          <w:rFonts w:ascii="Cambria Math" w:hAnsi="Cambria Math" w:cs="Cambria Math"/>
          <w:color w:val="2A2A2A"/>
          <w:sz w:val="23"/>
          <w:szCs w:val="23"/>
          <w:shd w:val="clear" w:color="auto" w:fill="FFFFFF"/>
          <w:lang w:val="en-GB"/>
        </w:rPr>
        <w:t>‐</w:t>
      </w:r>
      <w:r w:rsidRPr="003A73B5">
        <w:rPr>
          <w:rFonts w:ascii="Arial" w:hAnsi="Arial" w:cs="Arial"/>
          <w:color w:val="2A2A2A"/>
          <w:sz w:val="23"/>
          <w:szCs w:val="23"/>
          <w:shd w:val="clear" w:color="auto" w:fill="FFFFFF"/>
          <w:lang w:val="en-GB"/>
        </w:rPr>
        <w:t xml:space="preserve">wk intervals during the spring of 2 yr. Alfalfa was separated into leaves (including flowers) and stems; red clover into leaflets (including flowers), petioles, and stems; and </w:t>
      </w:r>
      <w:proofErr w:type="spellStart"/>
      <w:r w:rsidRPr="003A73B5">
        <w:rPr>
          <w:rFonts w:ascii="Arial" w:hAnsi="Arial" w:cs="Arial"/>
          <w:color w:val="2A2A2A"/>
          <w:sz w:val="23"/>
          <w:szCs w:val="23"/>
          <w:shd w:val="clear" w:color="auto" w:fill="FFFFFF"/>
          <w:lang w:val="en-GB"/>
        </w:rPr>
        <w:t>bromegrass</w:t>
      </w:r>
      <w:proofErr w:type="spellEnd"/>
      <w:r w:rsidRPr="003A73B5">
        <w:rPr>
          <w:rFonts w:ascii="Arial" w:hAnsi="Arial" w:cs="Arial"/>
          <w:color w:val="2A2A2A"/>
          <w:sz w:val="23"/>
          <w:szCs w:val="23"/>
          <w:shd w:val="clear" w:color="auto" w:fill="FFFFFF"/>
          <w:lang w:val="en-GB"/>
        </w:rPr>
        <w:t xml:space="preserve"> and timothy into leaf blades and stems (including sheaths). Herbage from two plots of each species </w:t>
      </w:r>
      <w:proofErr w:type="gramStart"/>
      <w:r w:rsidRPr="003A73B5">
        <w:rPr>
          <w:rFonts w:ascii="Arial" w:hAnsi="Arial" w:cs="Arial"/>
          <w:color w:val="2A2A2A"/>
          <w:sz w:val="23"/>
          <w:szCs w:val="23"/>
          <w:shd w:val="clear" w:color="auto" w:fill="FFFFFF"/>
          <w:lang w:val="en-GB"/>
        </w:rPr>
        <w:t>was scored</w:t>
      </w:r>
      <w:proofErr w:type="gramEnd"/>
      <w:r w:rsidRPr="003A73B5">
        <w:rPr>
          <w:rFonts w:ascii="Arial" w:hAnsi="Arial" w:cs="Arial"/>
          <w:color w:val="2A2A2A"/>
          <w:sz w:val="23"/>
          <w:szCs w:val="23"/>
          <w:shd w:val="clear" w:color="auto" w:fill="FFFFFF"/>
          <w:lang w:val="en-GB"/>
        </w:rPr>
        <w:t xml:space="preserve"> for </w:t>
      </w:r>
      <w:proofErr w:type="spellStart"/>
      <w:r w:rsidRPr="003A73B5">
        <w:rPr>
          <w:rFonts w:ascii="Arial" w:hAnsi="Arial" w:cs="Arial"/>
          <w:color w:val="2A2A2A"/>
          <w:sz w:val="23"/>
          <w:szCs w:val="23"/>
          <w:shd w:val="clear" w:color="auto" w:fill="FFFFFF"/>
          <w:lang w:val="en-GB"/>
        </w:rPr>
        <w:t>phenological</w:t>
      </w:r>
      <w:proofErr w:type="spellEnd"/>
      <w:r w:rsidRPr="003A73B5">
        <w:rPr>
          <w:rFonts w:ascii="Arial" w:hAnsi="Arial" w:cs="Arial"/>
          <w:color w:val="2A2A2A"/>
          <w:sz w:val="23"/>
          <w:szCs w:val="23"/>
          <w:shd w:val="clear" w:color="auto" w:fill="FFFFFF"/>
          <w:lang w:val="en-GB"/>
        </w:rPr>
        <w:t xml:space="preserve"> stage according to a species</w:t>
      </w:r>
      <w:r w:rsidRPr="003A73B5">
        <w:rPr>
          <w:rFonts w:ascii="Cambria Math" w:hAnsi="Cambria Math" w:cs="Cambria Math"/>
          <w:color w:val="2A2A2A"/>
          <w:sz w:val="23"/>
          <w:szCs w:val="23"/>
          <w:shd w:val="clear" w:color="auto" w:fill="FFFFFF"/>
          <w:lang w:val="en-GB"/>
        </w:rPr>
        <w:t>‐</w:t>
      </w:r>
      <w:r w:rsidRPr="003A73B5">
        <w:rPr>
          <w:rFonts w:ascii="Arial" w:hAnsi="Arial" w:cs="Arial"/>
          <w:color w:val="2A2A2A"/>
          <w:sz w:val="23"/>
          <w:szCs w:val="23"/>
          <w:shd w:val="clear" w:color="auto" w:fill="FFFFFF"/>
          <w:lang w:val="en-GB"/>
        </w:rPr>
        <w:t xml:space="preserve">specific index and a mean stage number (mean stage by weight, MSW) was calculated. For each plant part, NDF and IVDDM concentrations were regressed on MSW across years. Alfalfa leaves remained constant in NDF (206 g kg−1 dry matter, DM) and IVDDM (783 g kg−1 DM) with increasing MSW; however, MSW accounted for 97% of the variation in NDF and IVDDM concentrations of alfalfa stems and herbage. Herbage concentrations of NDF and IVDDM </w:t>
      </w:r>
      <w:proofErr w:type="gramStart"/>
      <w:r w:rsidRPr="003A73B5">
        <w:rPr>
          <w:rFonts w:ascii="Arial" w:hAnsi="Arial" w:cs="Arial"/>
          <w:color w:val="2A2A2A"/>
          <w:sz w:val="23"/>
          <w:szCs w:val="23"/>
          <w:shd w:val="clear" w:color="auto" w:fill="FFFFFF"/>
          <w:lang w:val="en-GB"/>
        </w:rPr>
        <w:t>were more closely related</w:t>
      </w:r>
      <w:proofErr w:type="gramEnd"/>
      <w:r w:rsidRPr="003A73B5">
        <w:rPr>
          <w:rFonts w:ascii="Arial" w:hAnsi="Arial" w:cs="Arial"/>
          <w:color w:val="2A2A2A"/>
          <w:sz w:val="23"/>
          <w:szCs w:val="23"/>
          <w:shd w:val="clear" w:color="auto" w:fill="FFFFFF"/>
          <w:lang w:val="en-GB"/>
        </w:rPr>
        <w:t xml:space="preserve"> to MSW than were concentrations of NDF and IVDDM in leaflets, stems, or petioles of red clover, and leaf blades and stems of </w:t>
      </w:r>
      <w:proofErr w:type="spellStart"/>
      <w:r w:rsidRPr="003A73B5">
        <w:rPr>
          <w:rFonts w:ascii="Arial" w:hAnsi="Arial" w:cs="Arial"/>
          <w:color w:val="2A2A2A"/>
          <w:sz w:val="23"/>
          <w:szCs w:val="23"/>
          <w:shd w:val="clear" w:color="auto" w:fill="FFFFFF"/>
          <w:lang w:val="en-GB"/>
        </w:rPr>
        <w:t>bromegrass</w:t>
      </w:r>
      <w:proofErr w:type="spellEnd"/>
      <w:r w:rsidRPr="003A73B5">
        <w:rPr>
          <w:rFonts w:ascii="Arial" w:hAnsi="Arial" w:cs="Arial"/>
          <w:color w:val="2A2A2A"/>
          <w:sz w:val="23"/>
          <w:szCs w:val="23"/>
          <w:shd w:val="clear" w:color="auto" w:fill="FFFFFF"/>
          <w:lang w:val="en-GB"/>
        </w:rPr>
        <w:t xml:space="preserve"> and timothy. Only in alfalfa did MSW adequately account for variation in NDF and IVDDM of herbage and plant parts. </w:t>
      </w:r>
      <w:proofErr w:type="spellStart"/>
      <w:r w:rsidRPr="003A73B5">
        <w:rPr>
          <w:rFonts w:ascii="Arial" w:hAnsi="Arial" w:cs="Arial"/>
          <w:color w:val="2A2A2A"/>
          <w:sz w:val="23"/>
          <w:szCs w:val="23"/>
          <w:shd w:val="clear" w:color="auto" w:fill="FFFFFF"/>
          <w:lang w:val="en-GB"/>
        </w:rPr>
        <w:t>Phenological</w:t>
      </w:r>
      <w:proofErr w:type="spellEnd"/>
      <w:r w:rsidRPr="003A73B5">
        <w:rPr>
          <w:rFonts w:ascii="Arial" w:hAnsi="Arial" w:cs="Arial"/>
          <w:color w:val="2A2A2A"/>
          <w:sz w:val="23"/>
          <w:szCs w:val="23"/>
          <w:shd w:val="clear" w:color="auto" w:fill="FFFFFF"/>
          <w:lang w:val="en-GB"/>
        </w:rPr>
        <w:t xml:space="preserve"> models for the other species adequately accounted for variation in some, but not all, plant parts.</w:t>
      </w:r>
    </w:p>
    <w:p w14:paraId="7551E675" w14:textId="77777777" w:rsidR="003A73B5" w:rsidRDefault="003A73B5">
      <w:pPr>
        <w:rPr>
          <w:rFonts w:ascii="Arial" w:hAnsi="Arial" w:cs="Arial"/>
          <w:color w:val="2A2A2A"/>
          <w:sz w:val="23"/>
          <w:szCs w:val="23"/>
          <w:shd w:val="clear" w:color="auto" w:fill="FFFFFF"/>
          <w:lang w:val="en-GB"/>
        </w:rPr>
      </w:pPr>
    </w:p>
    <w:p w14:paraId="62030DF0" w14:textId="77777777" w:rsidR="00AD24E9" w:rsidRPr="003A73B5" w:rsidRDefault="003A73B5">
      <w:pPr>
        <w:rPr>
          <w:lang w:val="en-GB"/>
        </w:rPr>
      </w:pPr>
      <w:r w:rsidRPr="003A73B5">
        <w:rPr>
          <w:rFonts w:ascii="Arial" w:hAnsi="Arial" w:cs="Arial"/>
          <w:color w:val="2A2A2A"/>
          <w:sz w:val="23"/>
          <w:szCs w:val="23"/>
          <w:shd w:val="clear" w:color="auto" w:fill="FFFFFF"/>
          <w:lang w:val="en-GB"/>
        </w:rPr>
        <w:t xml:space="preserve">D. R. KEMP, C. F. EAGLES, M. O. HUMPHREYS, Leaf Growth and Apex Development of Perennial Ryegrass </w:t>
      </w:r>
      <w:proofErr w:type="gramStart"/>
      <w:r w:rsidRPr="003A73B5">
        <w:rPr>
          <w:rFonts w:ascii="Arial" w:hAnsi="Arial" w:cs="Arial"/>
          <w:color w:val="2A2A2A"/>
          <w:sz w:val="23"/>
          <w:szCs w:val="23"/>
          <w:shd w:val="clear" w:color="auto" w:fill="FFFFFF"/>
          <w:lang w:val="en-GB"/>
        </w:rPr>
        <w:t>During</w:t>
      </w:r>
      <w:proofErr w:type="gramEnd"/>
      <w:r w:rsidRPr="003A73B5">
        <w:rPr>
          <w:rFonts w:ascii="Arial" w:hAnsi="Arial" w:cs="Arial"/>
          <w:color w:val="2A2A2A"/>
          <w:sz w:val="23"/>
          <w:szCs w:val="23"/>
          <w:shd w:val="clear" w:color="auto" w:fill="FFFFFF"/>
          <w:lang w:val="en-GB"/>
        </w:rPr>
        <w:t xml:space="preserve"> Winter and Spring, </w:t>
      </w:r>
      <w:r w:rsidRPr="003A73B5">
        <w:rPr>
          <w:rStyle w:val="Utheving"/>
          <w:rFonts w:ascii="Arial" w:hAnsi="Arial" w:cs="Arial"/>
          <w:color w:val="2A2A2A"/>
          <w:sz w:val="23"/>
          <w:szCs w:val="23"/>
          <w:bdr w:val="none" w:sz="0" w:space="0" w:color="auto" w:frame="1"/>
          <w:shd w:val="clear" w:color="auto" w:fill="FFFFFF"/>
          <w:lang w:val="en-GB"/>
        </w:rPr>
        <w:t>Annals of Botany</w:t>
      </w:r>
      <w:r w:rsidRPr="003A73B5">
        <w:rPr>
          <w:rFonts w:ascii="Arial" w:hAnsi="Arial" w:cs="Arial"/>
          <w:color w:val="2A2A2A"/>
          <w:sz w:val="23"/>
          <w:szCs w:val="23"/>
          <w:shd w:val="clear" w:color="auto" w:fill="FFFFFF"/>
          <w:lang w:val="en-GB"/>
        </w:rPr>
        <w:t>, Volume 63, Issue 3, March 1989, Pages 349–355, </w:t>
      </w:r>
      <w:r w:rsidR="00892BEF">
        <w:fldChar w:fldCharType="begin"/>
      </w:r>
      <w:r w:rsidR="00892BEF" w:rsidRPr="00892BEF">
        <w:rPr>
          <w:lang w:val="en-GB"/>
        </w:rPr>
        <w:instrText xml:space="preserve"> </w:instrText>
      </w:r>
      <w:r w:rsidR="00892BEF" w:rsidRPr="00892BEF">
        <w:rPr>
          <w:lang w:val="en-GB"/>
        </w:rPr>
        <w:instrText xml:space="preserve">HYPERLINK "https://doi.org/10.1093/oxfordjournals.aob.a087751" </w:instrText>
      </w:r>
      <w:r w:rsidR="00892BEF">
        <w:fldChar w:fldCharType="separate"/>
      </w:r>
      <w:r w:rsidRPr="003A73B5">
        <w:rPr>
          <w:rStyle w:val="Hyperkobling"/>
          <w:rFonts w:ascii="Arial" w:hAnsi="Arial" w:cs="Arial"/>
          <w:color w:val="006FB7"/>
          <w:sz w:val="23"/>
          <w:szCs w:val="23"/>
          <w:bdr w:val="none" w:sz="0" w:space="0" w:color="auto" w:frame="1"/>
          <w:shd w:val="clear" w:color="auto" w:fill="FFFFFF"/>
          <w:lang w:val="en-GB"/>
        </w:rPr>
        <w:t>https://doi.org/10.1093/oxfordjournals.aob.a087751</w:t>
      </w:r>
      <w:r w:rsidR="00892BEF">
        <w:rPr>
          <w:rStyle w:val="Hyperkobling"/>
          <w:rFonts w:ascii="Arial" w:hAnsi="Arial" w:cs="Arial"/>
          <w:color w:val="006FB7"/>
          <w:sz w:val="23"/>
          <w:szCs w:val="23"/>
          <w:bdr w:val="none" w:sz="0" w:space="0" w:color="auto" w:frame="1"/>
          <w:shd w:val="clear" w:color="auto" w:fill="FFFFFF"/>
          <w:lang w:val="en-GB"/>
        </w:rPr>
        <w:fldChar w:fldCharType="end"/>
      </w:r>
    </w:p>
    <w:p w14:paraId="2A3A9EB5" w14:textId="77777777" w:rsidR="003A73B5" w:rsidRDefault="003A73B5">
      <w:pPr>
        <w:rPr>
          <w:lang w:val="en-GB"/>
        </w:rPr>
      </w:pPr>
      <w:r w:rsidRPr="003A73B5">
        <w:rPr>
          <w:lang w:val="en-GB"/>
        </w:rPr>
        <w:t xml:space="preserve">The relationships between rates of leaf extension, leaf appearance, and primordia production on the apex </w:t>
      </w:r>
      <w:proofErr w:type="gramStart"/>
      <w:r w:rsidRPr="003A73B5">
        <w:rPr>
          <w:lang w:val="en-GB"/>
        </w:rPr>
        <w:t>were studied</w:t>
      </w:r>
      <w:proofErr w:type="gramEnd"/>
      <w:r w:rsidRPr="003A73B5">
        <w:rPr>
          <w:lang w:val="en-GB"/>
        </w:rPr>
        <w:t xml:space="preserve"> in the field during winter and spring in established swards of four contrasting perennial ryegrass lines (Aurora, </w:t>
      </w:r>
      <w:proofErr w:type="spellStart"/>
      <w:r w:rsidRPr="003A73B5">
        <w:rPr>
          <w:lang w:val="en-GB"/>
        </w:rPr>
        <w:t>Melle</w:t>
      </w:r>
      <w:proofErr w:type="spellEnd"/>
      <w:r w:rsidRPr="003A73B5">
        <w:rPr>
          <w:lang w:val="en-GB"/>
        </w:rPr>
        <w:t xml:space="preserve">, a hybrid selection from a cross between Aurora and </w:t>
      </w:r>
      <w:proofErr w:type="spellStart"/>
      <w:r w:rsidRPr="003A73B5">
        <w:rPr>
          <w:lang w:val="en-GB"/>
        </w:rPr>
        <w:t>Melle</w:t>
      </w:r>
      <w:proofErr w:type="spellEnd"/>
      <w:r w:rsidRPr="003A73B5">
        <w:rPr>
          <w:lang w:val="en-GB"/>
        </w:rPr>
        <w:t xml:space="preserve"> and S.24). All four lines showed an increase in leaf extension </w:t>
      </w:r>
      <w:proofErr w:type="gramStart"/>
      <w:r w:rsidRPr="003A73B5">
        <w:rPr>
          <w:lang w:val="en-GB"/>
        </w:rPr>
        <w:t>rates which</w:t>
      </w:r>
      <w:proofErr w:type="gramEnd"/>
      <w:r w:rsidRPr="003A73B5">
        <w:rPr>
          <w:lang w:val="en-GB"/>
        </w:rPr>
        <w:t xml:space="preserve"> commenced when spikelet primordia were first initiated at the apex. This was some time after </w:t>
      </w:r>
      <w:proofErr w:type="spellStart"/>
      <w:r w:rsidRPr="003A73B5">
        <w:rPr>
          <w:lang w:val="en-GB"/>
        </w:rPr>
        <w:t>vernalization</w:t>
      </w:r>
      <w:proofErr w:type="spellEnd"/>
      <w:r w:rsidRPr="003A73B5">
        <w:rPr>
          <w:lang w:val="en-GB"/>
        </w:rPr>
        <w:t xml:space="preserve"> requirements had been satisfied. In early-flowering </w:t>
      </w:r>
      <w:proofErr w:type="gramStart"/>
      <w:r w:rsidRPr="003A73B5">
        <w:rPr>
          <w:lang w:val="en-GB"/>
        </w:rPr>
        <w:t>lines</w:t>
      </w:r>
      <w:proofErr w:type="gramEnd"/>
      <w:r w:rsidRPr="003A73B5">
        <w:rPr>
          <w:lang w:val="en-GB"/>
        </w:rPr>
        <w:t xml:space="preserve"> the stimulus to leaf growth rates occurred earlier than in late-flowering lines. Maximum leaf growth rates occurred about the time of double ridge formation, in the middle of the period of spikelet primordia production. The rate and duration of the period of spikelet primordia production varied between lines. By the time of flowering, leaf growth rates declined to values recorded for vegetative plants in the winter. Leaf appearance rates followed a similar pattern to leaf growth rates, although the increase in leaf appearance rate was less than in primordia production or leaf growth rates. Hybrids from a cross between early- and late-flowering lines showed early enhancement of leaf extension rates due to early initiation of spikelet primordia production. These high rates of leaf growth </w:t>
      </w:r>
      <w:proofErr w:type="gramStart"/>
      <w:r w:rsidRPr="003A73B5">
        <w:rPr>
          <w:lang w:val="en-GB"/>
        </w:rPr>
        <w:t>were maintained</w:t>
      </w:r>
      <w:proofErr w:type="gramEnd"/>
      <w:r w:rsidRPr="003A73B5">
        <w:rPr>
          <w:lang w:val="en-GB"/>
        </w:rPr>
        <w:t xml:space="preserve"> for longer, compared with the early-flowering line, as the duration of spikelet production was longer. This illustrates a mechanism for combining early spring growth with lateness of flowering in ryegrass breeding programmes</w:t>
      </w:r>
    </w:p>
    <w:p w14:paraId="25E75C86" w14:textId="77777777" w:rsidR="003A73B5" w:rsidRDefault="003A73B5">
      <w:pPr>
        <w:rPr>
          <w:lang w:val="en-GB"/>
        </w:rPr>
      </w:pPr>
    </w:p>
    <w:p w14:paraId="37D54132" w14:textId="77777777" w:rsidR="003A73B5" w:rsidRPr="003A73B5" w:rsidRDefault="003A73B5">
      <w:pPr>
        <w:rPr>
          <w:lang w:val="en-GB"/>
        </w:rPr>
      </w:pPr>
    </w:p>
    <w:sectPr w:rsidR="003A73B5" w:rsidRPr="003A7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B5"/>
    <w:rsid w:val="00384B9D"/>
    <w:rsid w:val="003940C6"/>
    <w:rsid w:val="003A73B5"/>
    <w:rsid w:val="00522C35"/>
    <w:rsid w:val="00892BEF"/>
    <w:rsid w:val="00AD24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03AA"/>
  <w15:chartTrackingRefBased/>
  <w15:docId w15:val="{DC670DB0-8C08-4F79-AD74-628B4D48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Utheving">
    <w:name w:val="Emphasis"/>
    <w:basedOn w:val="Standardskriftforavsnitt"/>
    <w:uiPriority w:val="20"/>
    <w:qFormat/>
    <w:rsid w:val="003A73B5"/>
    <w:rPr>
      <w:i/>
      <w:iCs/>
    </w:rPr>
  </w:style>
  <w:style w:type="character" w:styleId="Hyperkobling">
    <w:name w:val="Hyperlink"/>
    <w:basedOn w:val="Standardskriftforavsnitt"/>
    <w:uiPriority w:val="99"/>
    <w:semiHidden/>
    <w:unhideWhenUsed/>
    <w:rsid w:val="003A7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27079BC380FDE4CBB87EC3BAB4C787C" ma:contentTypeVersion="10" ma:contentTypeDescription="Opprett et nytt dokument." ma:contentTypeScope="" ma:versionID="b9087b14bc47199bb05621c5c8a8aa3d">
  <xsd:schema xmlns:xsd="http://www.w3.org/2001/XMLSchema" xmlns:xs="http://www.w3.org/2001/XMLSchema" xmlns:p="http://schemas.microsoft.com/office/2006/metadata/properties" xmlns:ns3="7f81aac7-46f7-4663-a4ff-afd685c1f356" targetNamespace="http://schemas.microsoft.com/office/2006/metadata/properties" ma:root="true" ma:fieldsID="39a3b1ef6b5e859409fb63a3f7eb6e41" ns3:_="">
    <xsd:import namespace="7f81aac7-46f7-4663-a4ff-afd685c1f3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1aac7-46f7-4663-a4ff-afd685c1f3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51E699-B611-4551-8BBB-FA9A25867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1aac7-46f7-4663-a4ff-afd685c1f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30F48F-DEE5-4D43-B584-C5DB1F8D9F8F}">
  <ds:schemaRefs>
    <ds:schemaRef ds:uri="http://schemas.microsoft.com/sharepoint/v3/contenttype/forms"/>
  </ds:schemaRefs>
</ds:datastoreItem>
</file>

<file path=customXml/itemProps3.xml><?xml version="1.0" encoding="utf-8"?>
<ds:datastoreItem xmlns:ds="http://schemas.openxmlformats.org/officeDocument/2006/customXml" ds:itemID="{B046FC46-32A7-4EB7-87F3-EA4A529C4CA8}">
  <ds:schemaRefs>
    <ds:schemaRef ds:uri="http://schemas.microsoft.com/office/infopath/2007/PartnerControls"/>
    <ds:schemaRef ds:uri="http://www.w3.org/XML/1998/namespace"/>
    <ds:schemaRef ds:uri="http://purl.org/dc/terms/"/>
    <ds:schemaRef ds:uri="http://schemas.microsoft.com/office/2006/metadata/properties"/>
    <ds:schemaRef ds:uri="http://schemas.microsoft.com/office/2006/documentManagement/types"/>
    <ds:schemaRef ds:uri="7f81aac7-46f7-4663-a4ff-afd685c1f356"/>
    <ds:schemaRef ds:uri="http://purl.org/dc/dcmityp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1184</Words>
  <Characters>6276</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Høgskolen i Hedmark</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 Øivind Solberg</dc:creator>
  <cp:keywords/>
  <dc:description/>
  <cp:lastModifiedBy>Svein Øivind Solberg</cp:lastModifiedBy>
  <cp:revision>2</cp:revision>
  <dcterms:created xsi:type="dcterms:W3CDTF">2020-05-27T08:53:00Z</dcterms:created>
  <dcterms:modified xsi:type="dcterms:W3CDTF">2020-05-27T08:53:00Z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0x010100E27079BC380FDE4CBB87EC3BAB4C787C</vt:lpwstr>
  </property>
</Properties>
</file>