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prediction</w:t>
      </w:r>
      <w:r>
        <w:t xml:space="preserve"> </w:t>
      </w:r>
      <w:r>
        <w:t xml:space="preserve">associated</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early</w:t>
      </w:r>
      <w:r>
        <w:t xml:space="preserve"> </w:t>
      </w:r>
      <w:r>
        <w:t xml:space="preserve">selection</w:t>
      </w:r>
      <w:r>
        <w:t xml:space="preserve"> </w:t>
      </w:r>
      <w:r>
        <w:t xml:space="preserve">and</w:t>
      </w:r>
      <w:r>
        <w:t xml:space="preserve"> </w:t>
      </w:r>
      <w:r>
        <w:t xml:space="preserve">improvement</w:t>
      </w:r>
      <w:r>
        <w:t xml:space="preserve"> </w:t>
      </w:r>
      <w:r>
        <w:t xml:space="preserve">in</w:t>
      </w:r>
      <w:r>
        <w:t xml:space="preserve"> </w:t>
      </w:r>
      <w:r>
        <w:t xml:space="preserve">durum</w:t>
      </w:r>
      <w:r>
        <w:t xml:space="preserve"> </w:t>
      </w:r>
      <w:r>
        <w:t xml:space="preserve">wheat</w:t>
      </w:r>
    </w:p>
    <w:p>
      <w:pPr>
        <w:pStyle w:val="FirstParagraph"/>
      </w:pPr>
      <w:r>
        <w:t xml:space="preserve">Kauê de Sousa</w:t>
      </w:r>
      <w:r>
        <w:rPr>
          <w:vertAlign w:val="superscript"/>
        </w:rPr>
        <w:t xml:space="preserve">1,2</w:t>
      </w:r>
      <w:r>
        <w:t xml:space="preserve">, Jacob van Etten</w:t>
      </w:r>
      <w:r>
        <w:rPr>
          <w:vertAlign w:val="superscript"/>
        </w:rPr>
        <w:t xml:space="preserve">2</w:t>
      </w:r>
      <w:r>
        <w:t xml:space="preserve">, Svein Ø. Solberg</w:t>
      </w:r>
      <w:r>
        <w:rPr>
          <w:vertAlign w:val="superscript"/>
        </w:rPr>
        <w:t xml:space="preserve">1</w:t>
      </w:r>
      <w:r>
        <w:t xml:space="preserve">, Mario Enrico Pè</w:t>
      </w:r>
      <w:r>
        <w:rPr>
          <w:vertAlign w:val="superscript"/>
        </w:rPr>
        <w:t xml:space="preserve">3</w:t>
      </w:r>
      <w:r>
        <w:t xml:space="preserve">, Carlo Fadda</w:t>
      </w:r>
      <w:r>
        <w:rPr>
          <w:vertAlign w:val="superscript"/>
        </w:rPr>
        <w:t xml:space="preserve">4</w:t>
      </w:r>
      <w:r>
        <w:t xml:space="preserve">, Yosef Gebrehawaryat</w:t>
      </w:r>
      <w:r>
        <w:rPr>
          <w:vertAlign w:val="superscript"/>
        </w:rPr>
        <w:t xml:space="preserve">4</w:t>
      </w:r>
      <w:r>
        <w:t xml:space="preserve">, Jean-Luc Jannink</w:t>
      </w:r>
      <w:r>
        <w:rPr>
          <w:vertAlign w:val="superscript"/>
        </w:rPr>
        <w:t xml:space="preserve">5,6</w:t>
      </w:r>
      <w:r>
        <w:t xml:space="preserve">, Basazen Fantahun Lakew</w:t>
      </w:r>
      <w:r>
        <w:rPr>
          <w:vertAlign w:val="superscript"/>
        </w:rPr>
        <w:t xml:space="preserve">3</w:t>
      </w:r>
      <w:r>
        <w:t xml:space="preserve">, Dejene Mengistu</w:t>
      </w:r>
      <w:r>
        <w:rPr>
          <w:vertAlign w:val="superscript"/>
        </w:rPr>
        <w:t xml:space="preserve">7</w:t>
      </w:r>
      <w:r>
        <w:t xml:space="preserve">, Jesse Poland</w:t>
      </w:r>
      <w:r>
        <w:rPr>
          <w:vertAlign w:val="superscript"/>
        </w:rPr>
        <w:t xml:space="preserve">8</w:t>
      </w:r>
      <w:r>
        <w:t xml:space="preserve">, [… add others], Matteo Dell’Acqua</w:t>
      </w:r>
      <w:r>
        <w:rPr>
          <w:vertAlign w:val="superscript"/>
        </w:rPr>
        <w:t xml:space="preserve">3[*]</w:t>
      </w:r>
      <w:r>
        <w:br w:type="textWrapping"/>
      </w:r>
      <w:r>
        <w:rPr>
          <w:vertAlign w:val="superscript"/>
        </w:rPr>
        <w:t xml:space="preserve">1</w:t>
      </w:r>
      <w:r>
        <w:t xml:space="preserve"> </w:t>
      </w:r>
      <w:r>
        <w:t xml:space="preserve">Department of Agricultural Sciences, Inland Norway University of Applied Sciences, 2318 Hamar, Norway</w:t>
      </w:r>
      <w:r>
        <w:br w:type="textWrapping"/>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Institute of Life Sciences, Scuola Superiore Sant’Anna, 56124 Pisa, Italy</w:t>
      </w:r>
      <w:r>
        <w:br w:type="textWrapping"/>
      </w:r>
      <w:r>
        <w:rPr>
          <w:vertAlign w:val="superscript"/>
        </w:rPr>
        <w:t xml:space="preserve">4</w:t>
      </w:r>
      <w:r>
        <w:t xml:space="preserve"> </w:t>
      </w:r>
      <w:r>
        <w:t xml:space="preserve">Bioversity International, Ethiopia Office, 1000 Addis Ababa, Ethiopia</w:t>
      </w:r>
      <w:r>
        <w:br w:type="textWrapping"/>
      </w:r>
      <w:r>
        <w:rPr>
          <w:vertAlign w:val="superscript"/>
        </w:rPr>
        <w:t xml:space="preserve">5</w:t>
      </w:r>
      <w:r>
        <w:t xml:space="preserve"> </w:t>
      </w:r>
      <w:r>
        <w:t xml:space="preserve">College of Agriculture and Life Sciences, Cornell University, NY 14853 Ithaca, USA</w:t>
      </w:r>
      <w:r>
        <w:br w:type="textWrapping"/>
      </w:r>
      <w:r>
        <w:rPr>
          <w:vertAlign w:val="superscript"/>
        </w:rPr>
        <w:t xml:space="preserve">6</w:t>
      </w:r>
      <w:r>
        <w:t xml:space="preserve"> </w:t>
      </w:r>
      <w:r>
        <w:t xml:space="preserve">Agricultural Research Service, United States Department of Agriculture, NY 14853 Ithaca, USA</w:t>
      </w:r>
      <w:r>
        <w:br w:type="textWrapping"/>
      </w:r>
      <w:r>
        <w:rPr>
          <w:vertAlign w:val="superscript"/>
        </w:rPr>
        <w:t xml:space="preserve">7</w:t>
      </w:r>
      <w:r>
        <w:t xml:space="preserve"> </w:t>
      </w:r>
      <w:r>
        <w:t xml:space="preserve">Bioversity International, Nepal Office, 3055 Kathmandu, Nepal</w:t>
      </w:r>
      <w:r>
        <w:br w:type="textWrapping"/>
      </w:r>
      <w:r>
        <w:rPr>
          <w:vertAlign w:val="superscript"/>
        </w:rPr>
        <w:t xml:space="preserve">8</w:t>
      </w:r>
      <w:r>
        <w:t xml:space="preserve"> </w:t>
      </w:r>
      <w:r>
        <w:t xml:space="preserve">Department of Agronomy, Kansas State University, KS 66506 Manhattan, USA</w:t>
      </w:r>
      <w:r>
        <w:br w:type="textWrapping"/>
      </w:r>
      <w:r>
        <w:rPr>
          <w:vertAlign w:val="superscript"/>
        </w:rPr>
        <w:t xml:space="preserve">[*]</w:t>
      </w:r>
      <w:r>
        <w:t xml:space="preserve">Correspondence should be addressed to MDA (email:</w:t>
      </w:r>
      <w:r>
        <w:t xml:space="preserve"> </w:t>
      </w:r>
      <w:hyperlink r:id="rId21">
        <w:r>
          <w:rPr>
            <w:rStyle w:val="Hyperlink"/>
          </w:rPr>
          <w:t xml:space="preserve">m.dellacqua@santannapisa.it</w:t>
        </w:r>
      </w:hyperlink>
      <w:r>
        <w:t xml:space="preserve">)</w:t>
      </w:r>
    </w:p>
    <w:p>
      <w:pPr>
        <w:pStyle w:val="Heading1"/>
      </w:pPr>
      <w:bookmarkStart w:id="22" w:name="introduction"/>
      <w:bookmarkEnd w:id="22"/>
      <w:r>
        <w:t xml:space="preserve">Introduction</w:t>
      </w:r>
    </w:p>
    <w:p>
      <w:pPr>
        <w:pStyle w:val="Compact"/>
        <w:numPr>
          <w:numId w:val="1001"/>
          <w:ilvl w:val="0"/>
        </w:numPr>
      </w:pPr>
      <w:r>
        <w:t xml:space="preserve">wheat is the second largest ceral grain cultivated worldwide</w:t>
      </w:r>
    </w:p>
    <w:p>
      <w:pPr>
        <w:pStyle w:val="Compact"/>
        <w:numPr>
          <w:numId w:val="1001"/>
          <w:ilvl w:val="0"/>
        </w:numPr>
      </w:pPr>
      <w:r>
        <w:t xml:space="preserve">most of durum wheat’s genetic diversity is found in Ethiopia</w:t>
      </w:r>
    </w:p>
    <w:p>
      <w:pPr>
        <w:pStyle w:val="Compact"/>
        <w:numPr>
          <w:numId w:val="1001"/>
          <w:ilvl w:val="0"/>
        </w:numPr>
      </w:pPr>
      <w:r>
        <w:t xml:space="preserve">even though most farmers are exposed to a small set of Mediterranean modern varieties</w:t>
      </w:r>
    </w:p>
    <w:p>
      <w:pPr>
        <w:pStyle w:val="Heading1"/>
      </w:pPr>
      <w:bookmarkStart w:id="23" w:name="part-1"/>
      <w:bookmarkEnd w:id="23"/>
      <w:r>
        <w:t xml:space="preserve">Part 1</w:t>
      </w:r>
    </w:p>
    <w:p>
      <w:pPr>
        <w:pStyle w:val="FigureWithCaption"/>
      </w:pPr>
      <w:r>
        <w:drawing>
          <wp:inline>
            <wp:extent cx="4995446" cy="4909530"/>
            <wp:effectExtent b="0" l="0" r="0" t="0"/>
            <wp:docPr descr="Fig. 1. Research method." title="" id="1" name="Picture"/>
            <a:graphic>
              <a:graphicData uri="http://schemas.openxmlformats.org/drawingml/2006/picture">
                <pic:pic>
                  <pic:nvPicPr>
                    <pic:cNvPr descr="../output/scheme/Fig1.png" id="0" name="Picture"/>
                    <pic:cNvPicPr>
                      <a:picLocks noChangeArrowheads="1" noChangeAspect="1"/>
                    </pic:cNvPicPr>
                  </pic:nvPicPr>
                  <pic:blipFill>
                    <a:blip r:embed="rId24"/>
                    <a:stretch>
                      <a:fillRect/>
                    </a:stretch>
                  </pic:blipFill>
                  <pic:spPr bwMode="auto">
                    <a:xfrm>
                      <a:off x="0" y="0"/>
                      <a:ext cx="4995446" cy="4909530"/>
                    </a:xfrm>
                    <a:prstGeom prst="rect">
                      <a:avLst/>
                    </a:prstGeom>
                    <a:noFill/>
                    <a:ln w="9525">
                      <a:noFill/>
                      <a:headEnd/>
                      <a:tailEnd/>
                    </a:ln>
                  </pic:spPr>
                </pic:pic>
              </a:graphicData>
            </a:graphic>
          </wp:inline>
        </w:drawing>
      </w:r>
    </w:p>
    <w:p>
      <w:pPr>
        <w:pStyle w:val="ImageCaption"/>
      </w:pPr>
      <w:r>
        <w:t xml:space="preserve">Fig. 1. Research method.</w:t>
      </w:r>
    </w:p>
    <w:p>
      <w:pPr>
        <w:pStyle w:val="Heading1"/>
      </w:pPr>
      <w:bookmarkStart w:id="25" w:name="part-2"/>
      <w:bookmarkEnd w:id="25"/>
      <w:r>
        <w:t xml:space="preserve">Part 2</w:t>
      </w:r>
    </w:p>
    <w:p>
      <w:pPr>
        <w:pStyle w:val="FirstParagraph"/>
      </w:pPr>
      <w:r>
        <w:t xml:space="preserve">Farmer evaluation traits can predict metric traits fairly well, depending on their derivation. Overall, spike, and GY observed in first year have a similar performance in predicting GY in the second year (Fig. 2A). Farmers scores (both overall and spike) well predict TGW in 2013. There is a gender interaction, especially in overall, as arguably men and women have a different interpretation of the overall appreciation of varieties. When men and women criteria are contrasting, the prediction power decreases (see overall, overall.f and overall.m over GY in 2013). When they are aligned, the prediction power increases (see overall, overall.f and overall.m over DF in 2013; farmers are very worried about late maturation of varieties).</w:t>
      </w:r>
    </w:p>
    <w:p>
      <w:pPr>
        <w:pStyle w:val="FigureWithCaption"/>
      </w:pPr>
      <w:r>
        <w:drawing>
          <wp:inline>
            <wp:extent cx="5969000" cy="3357562"/>
            <wp:effectExtent b="0" l="0" r="0" t="0"/>
            <wp:docPr descr="Fig. 2. R" title="" id="1" name="Picture"/>
            <a:graphic>
              <a:graphicData uri="http://schemas.openxmlformats.org/drawingml/2006/picture">
                <pic:pic>
                  <pic:nvPicPr>
                    <pic:cNvPr descr="../output/gp/Fig2.png" id="0" name="Picture"/>
                    <pic:cNvPicPr>
                      <a:picLocks noChangeArrowheads="1" noChangeAspect="1"/>
                    </pic:cNvPicPr>
                  </pic:nvPicPr>
                  <pic:blipFill>
                    <a:blip r:embed="rId26"/>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t xml:space="preserve">Fig. 2. R</w:t>
      </w:r>
    </w:p>
    <w:p>
      <w:pPr>
        <w:pStyle w:val="Heading1"/>
      </w:pPr>
      <w:bookmarkStart w:id="27" w:name="part-3"/>
      <w:bookmarkEnd w:id="27"/>
      <w:r>
        <w:t xml:space="preserve">Part 3</w:t>
      </w:r>
    </w:p>
    <w:p>
      <w:pPr>
        <w:pStyle w:val="FigureWithCaption"/>
      </w:pPr>
      <w:r>
        <w:drawing>
          <wp:inline>
            <wp:extent cx="5416061" cy="5416061"/>
            <wp:effectExtent b="0" l="0" r="0" t="0"/>
            <wp:docPr descr="Fig. 3. Expected yield gain of adopting variety recommendations based on (L) location model, (E) environmental model and (GxE) genotype by environmental model." title="" id="1" name="Picture"/>
            <a:graphic>
              <a:graphicData uri="http://schemas.openxmlformats.org/drawingml/2006/picture">
                <pic:pic>
                  <pic:nvPicPr>
                    <pic:cNvPr descr="../output/yield_gain/yield_gain.png" id="0" name="Picture"/>
                    <pic:cNvPicPr>
                      <a:picLocks noChangeArrowheads="1" noChangeAspect="1"/>
                    </pic:cNvPicPr>
                  </pic:nvPicPr>
                  <pic:blipFill>
                    <a:blip r:embed="rId28"/>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 3. Expected yield gain of adopting variety recommendations based on (L) location model, (E) environmental model and (GxE) genotype by environmental model.</w:t>
      </w:r>
    </w:p>
    <w:p>
      <w:pPr>
        <w:pStyle w:val="Heading1"/>
      </w:pPr>
      <w:bookmarkStart w:id="29" w:name="methods"/>
      <w:bookmarkEnd w:id="29"/>
      <w:r>
        <w:t xml:space="preserve">Methods</w:t>
      </w:r>
    </w:p>
    <w:p>
      <w:pPr>
        <w:pStyle w:val="Heading1"/>
      </w:pPr>
      <w:bookmarkStart w:id="30" w:name="references"/>
      <w:bookmarkEnd w:id="30"/>
      <w:r>
        <w:t xml:space="preserve">References</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39b41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c5a6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6209"/>
    <w:pPr>
      <w:keepNext/>
      <w:keepLines/>
      <w:pageBreakBefore/>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772D"/>
  </w:style>
  <w:style w:type="paragraph" w:customStyle="1" w:styleId="FirstParagraph">
    <w:name w:val="First Paragraph"/>
    <w:basedOn w:val="BodyText"/>
    <w:next w:val="BodyText"/>
    <w:qFormat/>
    <w:rsid w:val="000F1990"/>
    <w:pPr>
      <w:spacing w:before="120" w:after="120" w:line="240" w:lineRule="auto"/>
    </w:pPr>
    <w:rPr>
      <w:sz w:val="22"/>
    </w:rPr>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B47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1" Target="mailto:m.dellacqua@santannapisa.it" TargetMode="External" /></Relationships>
</file>

<file path=word/_rels/footnotes.xml.rels><?xml version="1.0" encoding="UTF-8"?>
<Relationships xmlns="http://schemas.openxmlformats.org/package/2006/relationships"><Relationship Type="http://schemas.openxmlformats.org/officeDocument/2006/relationships/hyperlink" Id="rId21" Target="mailto:m.dellacqua@santannapisa.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prediction associated with citizen science for early selection and improvement in durum wheat</dc:title>
  <dc:creator/>
  <dcterms:created xsi:type="dcterms:W3CDTF">2019-08-27T14:22:09Z</dcterms:created>
  <dcterms:modified xsi:type="dcterms:W3CDTF">2019-08-27T14:22:09Z</dcterms:modified>
</cp:coreProperties>
</file>