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0F172A"/>
          <w:sz w:val="48"/>
        </w:rPr>
        <w:t>📊 KioskDrop Enterprise: 12-Page Executive Business Deck</w:t>
      </w:r>
    </w:p>
    <w:p>
      <w:pPr>
        <w:spacing w:before="240" w:after="120"/>
        <w:jc w:val="center"/>
      </w:pPr>
      <w:r>
        <w:rPr>
          <w:rFonts w:ascii="Calibri" w:hAnsi="Calibri"/>
          <w:b/>
          <w:color w:val="0F172A"/>
          <w:sz w:val="48"/>
        </w:rPr>
        <w:t>⚡ KIOSKDROP ENTERPRISE</w:t>
      </w:r>
    </w:p>
    <w:p>
      <w:pPr>
        <w:spacing w:before="200" w:after="80"/>
      </w:pPr>
      <w:r>
        <w:rPr>
          <w:rFonts w:ascii="Calibri" w:hAnsi="Calibri"/>
          <w:b/>
          <w:color w:val="0F172A"/>
          <w:sz w:val="26"/>
        </w:rPr>
        <w:t>Autonomous Micro-Logistics &amp; Smart Locker Platform for Zero-Downtime Boardrooms</w:t>
      </w:r>
    </w:p>
    <w:p>
      <w:pPr>
        <w:spacing w:before="60" w:after="80"/>
      </w:pPr>
      <w:r>
        <w:rPr>
          <w:rFonts w:ascii="Calibri" w:hAnsi="Calibri"/>
          <w:color w:val="1E293B"/>
          <w:sz w:val="20"/>
        </w:rPr>
      </w:r>
      <w:r>
        <w:rPr>
          <w:rFonts w:ascii="Calibri" w:hAnsi="Calibri"/>
          <w:b/>
          <w:color w:val="1E293B"/>
          <w:sz w:val="20"/>
        </w:rPr>
        <w:t>Confidential Executive &amp; Investor Business Presentation</w:t>
      </w:r>
      <w:r>
        <w:rPr>
          <w:rFonts w:ascii="Calibri" w:hAnsi="Calibri"/>
          <w:color w:val="1E293B"/>
          <w:sz w:val="20"/>
        </w:rPr>
      </w:r>
    </w:p>
    <w:p>
      <w:pPr>
        <w:spacing w:before="60" w:after="80"/>
      </w:pPr>
      <w:r>
        <w:rPr>
          <w:rFonts w:ascii="Calibri" w:hAnsi="Calibri"/>
          <w:color w:val="1E293B"/>
          <w:sz w:val="20"/>
        </w:rPr>
        <w:t>*Seed / Enterprise Expansion Stage • Target Market: Fortune 500 &amp; Global Capability Centers (GCCs)*</w:t>
      </w:r>
    </w:p>
    <w:p>
      <w:pPr>
        <w:spacing w:before="60" w:after="80"/>
      </w:pPr>
      <w:r>
        <w:rPr>
          <w:rFonts w:ascii="Calibri" w:hAnsi="Calibri"/>
          <w:color w:val="1E293B"/>
          <w:sz w:val="20"/>
        </w:rPr>
        <w:t>## 📑 Slide Directory</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pPr>
              <w:jc w:val="center"/>
            </w:pPr>
            <w:r>
              <w:rPr>
                <w:rFonts w:ascii="Calibri" w:hAnsi="Calibri"/>
                <w:b/>
                <w:color w:val="FFFFFF"/>
                <w:sz w:val="19"/>
              </w:rPr>
              <w:t>Slide #</w:t>
            </w:r>
          </w:p>
        </w:tc>
        <w:tc>
          <w:tcPr>
            <w:tcW w:type="dxa" w:w="3312"/>
            <w:shd w:fill="0F172A"/>
            <w:tcMar>
              <w:top w:w="100" w:type="dxa"/>
              <w:bottom w:w="100" w:type="dxa"/>
              <w:left w:w="120" w:type="dxa"/>
              <w:right w:w="120" w:type="dxa"/>
            </w:tcMar>
          </w:tcPr>
          <w:p>
            <w:pPr>
              <w:jc w:val="center"/>
            </w:pPr>
            <w:r>
              <w:rPr>
                <w:rFonts w:ascii="Calibri" w:hAnsi="Calibri"/>
                <w:b/>
                <w:color w:val="FFFFFF"/>
                <w:sz w:val="19"/>
              </w:rPr>
              <w:t>Slide Title</w:t>
            </w:r>
          </w:p>
        </w:tc>
        <w:tc>
          <w:tcPr>
            <w:tcW w:type="dxa" w:w="3312"/>
            <w:shd w:fill="0F172A"/>
            <w:tcMar>
              <w:top w:w="100" w:type="dxa"/>
              <w:bottom w:w="100" w:type="dxa"/>
              <w:left w:w="120" w:type="dxa"/>
              <w:right w:w="120" w:type="dxa"/>
            </w:tcMar>
          </w:tcPr>
          <w:p>
            <w:pPr>
              <w:jc w:val="center"/>
            </w:pPr>
            <w:r>
              <w:rPr>
                <w:rFonts w:ascii="Calibri" w:hAnsi="Calibri"/>
                <w:b/>
                <w:color w:val="FFFFFF"/>
                <w:sz w:val="19"/>
              </w:rPr>
              <w:t>Executive Theme</w:t>
            </w:r>
          </w:p>
        </w:tc>
      </w:tr>
      <w:tr>
        <w:tc>
          <w:tcPr>
            <w:tcW w:type="dxa" w:w="3312"/>
            <w:shd w:fill="FFFFFF"/>
            <w:tcMar>
              <w:top w:w="80" w:type="dxa"/>
              <w:bottom w:w="80" w:type="dxa"/>
              <w:left w:w="120" w:type="dxa"/>
              <w:right w:w="120" w:type="dxa"/>
            </w:tcMar>
          </w:tcPr>
          <w:p>
            <w:r>
              <w:rPr>
                <w:rFonts w:ascii="Calibri" w:hAnsi="Calibri"/>
                <w:color w:val="1E293B"/>
                <w:sz w:val="18"/>
              </w:rPr>
              <w:t>01</w:t>
            </w:r>
          </w:p>
        </w:tc>
        <w:tc>
          <w:tcPr>
            <w:tcW w:type="dxa" w:w="3312"/>
            <w:shd w:fill="FFFFFF"/>
            <w:tcMar>
              <w:top w:w="80" w:type="dxa"/>
              <w:bottom w:w="80" w:type="dxa"/>
              <w:left w:w="120" w:type="dxa"/>
              <w:right w:w="120" w:type="dxa"/>
            </w:tcMar>
          </w:tcPr>
          <w:p>
            <w:r>
              <w:rPr>
                <w:rFonts w:ascii="Calibri" w:hAnsi="Calibri"/>
                <w:color w:val="1E293B"/>
                <w:sz w:val="18"/>
              </w:rPr>
              <w:t>[Executive Vision &amp; Core Identity](#slide-1-executive-vision--core-identity)</w:t>
            </w:r>
          </w:p>
        </w:tc>
        <w:tc>
          <w:tcPr>
            <w:tcW w:type="dxa" w:w="3312"/>
            <w:shd w:fill="FFFFFF"/>
            <w:tcMar>
              <w:top w:w="80" w:type="dxa"/>
              <w:bottom w:w="80" w:type="dxa"/>
              <w:left w:w="120" w:type="dxa"/>
              <w:right w:w="120" w:type="dxa"/>
            </w:tcMar>
          </w:tcPr>
          <w:p>
            <w:r>
              <w:rPr>
                <w:rFonts w:ascii="Calibri" w:hAnsi="Calibri"/>
                <w:color w:val="1E293B"/>
                <w:sz w:val="18"/>
              </w:rPr>
              <w:t>Sub-60-second autonomous boardroom hardware dispatch</w:t>
            </w:r>
          </w:p>
        </w:tc>
      </w:tr>
      <w:tr>
        <w:tc>
          <w:tcPr>
            <w:tcW w:type="dxa" w:w="3312"/>
            <w:shd w:fill="F8FAFC"/>
            <w:tcMar>
              <w:top w:w="80" w:type="dxa"/>
              <w:bottom w:w="80" w:type="dxa"/>
              <w:left w:w="120" w:type="dxa"/>
              <w:right w:w="120" w:type="dxa"/>
            </w:tcMar>
          </w:tcPr>
          <w:p>
            <w:r>
              <w:rPr>
                <w:rFonts w:ascii="Calibri" w:hAnsi="Calibri"/>
                <w:color w:val="1E293B"/>
                <w:sz w:val="18"/>
              </w:rPr>
              <w:t>02</w:t>
            </w:r>
          </w:p>
        </w:tc>
        <w:tc>
          <w:tcPr>
            <w:tcW w:type="dxa" w:w="3312"/>
            <w:shd w:fill="F8FAFC"/>
            <w:tcMar>
              <w:top w:w="80" w:type="dxa"/>
              <w:bottom w:w="80" w:type="dxa"/>
              <w:left w:w="120" w:type="dxa"/>
              <w:right w:w="120" w:type="dxa"/>
            </w:tcMar>
          </w:tcPr>
          <w:p>
            <w:r>
              <w:rPr>
                <w:rFonts w:ascii="Calibri" w:hAnsi="Calibri"/>
                <w:color w:val="1E293B"/>
                <w:sz w:val="18"/>
              </w:rPr>
              <w:t>[The Problem: The "Last-Meter" AV Crisis](#slide-2-the-problem-the-last-meter-av-crisis)</w:t>
            </w:r>
          </w:p>
        </w:tc>
        <w:tc>
          <w:tcPr>
            <w:tcW w:type="dxa" w:w="3312"/>
            <w:shd w:fill="F8FAFC"/>
            <w:tcMar>
              <w:top w:w="80" w:type="dxa"/>
              <w:bottom w:w="80" w:type="dxa"/>
              <w:left w:w="120" w:type="dxa"/>
              <w:right w:w="120" w:type="dxa"/>
            </w:tcMar>
          </w:tcPr>
          <w:p>
            <w:r>
              <w:rPr>
                <w:rFonts w:ascii="Calibri" w:hAnsi="Calibri"/>
                <w:color w:val="1E293B"/>
                <w:sz w:val="18"/>
              </w:rPr>
              <w:t>Staggering productivity losses and cybersecurity vulnerabilities</w:t>
            </w:r>
          </w:p>
        </w:tc>
      </w:tr>
      <w:tr>
        <w:tc>
          <w:tcPr>
            <w:tcW w:type="dxa" w:w="3312"/>
            <w:shd w:fill="FFFFFF"/>
            <w:tcMar>
              <w:top w:w="80" w:type="dxa"/>
              <w:bottom w:w="80" w:type="dxa"/>
              <w:left w:w="120" w:type="dxa"/>
              <w:right w:w="120" w:type="dxa"/>
            </w:tcMar>
          </w:tcPr>
          <w:p>
            <w:r>
              <w:rPr>
                <w:rFonts w:ascii="Calibri" w:hAnsi="Calibri"/>
                <w:color w:val="1E293B"/>
                <w:sz w:val="18"/>
              </w:rPr>
              <w:t>03</w:t>
            </w:r>
          </w:p>
        </w:tc>
        <w:tc>
          <w:tcPr>
            <w:tcW w:type="dxa" w:w="3312"/>
            <w:shd w:fill="FFFFFF"/>
            <w:tcMar>
              <w:top w:w="80" w:type="dxa"/>
              <w:bottom w:w="80" w:type="dxa"/>
              <w:left w:w="120" w:type="dxa"/>
              <w:right w:w="120" w:type="dxa"/>
            </w:tcMar>
          </w:tcPr>
          <w:p>
            <w:r>
              <w:rPr>
                <w:rFonts w:ascii="Calibri" w:hAnsi="Calibri"/>
                <w:color w:val="1E293B"/>
                <w:sz w:val="18"/>
              </w:rPr>
              <w:t>[The Solution: Distributed Autonomous Micro-Logistics](#slide-3-the-solution-distributed-autonomous-micro-logistics)</w:t>
            </w:r>
          </w:p>
        </w:tc>
        <w:tc>
          <w:tcPr>
            <w:tcW w:type="dxa" w:w="3312"/>
            <w:shd w:fill="FFFFFF"/>
            <w:tcMar>
              <w:top w:w="80" w:type="dxa"/>
              <w:bottom w:w="80" w:type="dxa"/>
              <w:left w:w="120" w:type="dxa"/>
              <w:right w:w="120" w:type="dxa"/>
            </w:tcMar>
          </w:tcPr>
          <w:p>
            <w:r>
              <w:rPr>
                <w:rFonts w:ascii="Calibri" w:hAnsi="Calibri"/>
                <w:color w:val="1E293B"/>
                <w:sz w:val="18"/>
              </w:rPr>
              <w:t>10-second hardware retrieval vs. 25-minute IT tickets</w:t>
            </w:r>
          </w:p>
        </w:tc>
      </w:tr>
      <w:tr>
        <w:tc>
          <w:tcPr>
            <w:tcW w:type="dxa" w:w="3312"/>
            <w:shd w:fill="F8FAFC"/>
            <w:tcMar>
              <w:top w:w="80" w:type="dxa"/>
              <w:bottom w:w="80" w:type="dxa"/>
              <w:left w:w="120" w:type="dxa"/>
              <w:right w:w="120" w:type="dxa"/>
            </w:tcMar>
          </w:tcPr>
          <w:p>
            <w:r>
              <w:rPr>
                <w:rFonts w:ascii="Calibri" w:hAnsi="Calibri"/>
                <w:color w:val="1E293B"/>
                <w:sz w:val="18"/>
              </w:rPr>
              <w:t>04</w:t>
            </w:r>
          </w:p>
        </w:tc>
        <w:tc>
          <w:tcPr>
            <w:tcW w:type="dxa" w:w="3312"/>
            <w:shd w:fill="F8FAFC"/>
            <w:tcMar>
              <w:top w:w="80" w:type="dxa"/>
              <w:bottom w:w="80" w:type="dxa"/>
              <w:left w:w="120" w:type="dxa"/>
              <w:right w:w="120" w:type="dxa"/>
            </w:tcMar>
          </w:tcPr>
          <w:p>
            <w:r>
              <w:rPr>
                <w:rFonts w:ascii="Calibri" w:hAnsi="Calibri"/>
                <w:color w:val="1E293B"/>
                <w:sz w:val="18"/>
              </w:rPr>
              <w:t>[Hardware Architecture &amp; IoT Simulator](#slide-4-hardware-architecture--iot-simulator)</w:t>
            </w:r>
          </w:p>
        </w:tc>
        <w:tc>
          <w:tcPr>
            <w:tcW w:type="dxa" w:w="3312"/>
            <w:shd w:fill="F8FAFC"/>
            <w:tcMar>
              <w:top w:w="80" w:type="dxa"/>
              <w:bottom w:w="80" w:type="dxa"/>
              <w:left w:w="120" w:type="dxa"/>
              <w:right w:w="120" w:type="dxa"/>
            </w:tcMar>
          </w:tcPr>
          <w:p>
            <w:r>
              <w:rPr>
                <w:rFonts w:ascii="Calibri" w:hAnsi="Calibri"/>
                <w:color w:val="1E293B"/>
                <w:sz w:val="18"/>
              </w:rPr>
              <w:t>12-bay physical locker matrix with optoelectronic sensors</w:t>
            </w:r>
          </w:p>
        </w:tc>
      </w:tr>
      <w:tr>
        <w:tc>
          <w:tcPr>
            <w:tcW w:type="dxa" w:w="3312"/>
            <w:shd w:fill="FFFFFF"/>
            <w:tcMar>
              <w:top w:w="80" w:type="dxa"/>
              <w:bottom w:w="80" w:type="dxa"/>
              <w:left w:w="120" w:type="dxa"/>
              <w:right w:w="120" w:type="dxa"/>
            </w:tcMar>
          </w:tcPr>
          <w:p>
            <w:r>
              <w:rPr>
                <w:rFonts w:ascii="Calibri" w:hAnsi="Calibri"/>
                <w:color w:val="1E293B"/>
                <w:sz w:val="18"/>
              </w:rPr>
              <w:t>05</w:t>
            </w:r>
          </w:p>
        </w:tc>
        <w:tc>
          <w:tcPr>
            <w:tcW w:type="dxa" w:w="3312"/>
            <w:shd w:fill="FFFFFF"/>
            <w:tcMar>
              <w:top w:w="80" w:type="dxa"/>
              <w:bottom w:w="80" w:type="dxa"/>
              <w:left w:w="120" w:type="dxa"/>
              <w:right w:w="120" w:type="dxa"/>
            </w:tcMar>
          </w:tcPr>
          <w:p>
            <w:r>
              <w:rPr>
                <w:rFonts w:ascii="Calibri" w:hAnsi="Calibri"/>
                <w:color w:val="1E293B"/>
                <w:sz w:val="18"/>
              </w:rPr>
              <w:t>[Zero-Trust Cybersecurity &amp; Asset Whitelist](#slide-5-zero-trust-cybersecurity--asset-whitelist)</w:t>
            </w:r>
          </w:p>
        </w:tc>
        <w:tc>
          <w:tcPr>
            <w:tcW w:type="dxa" w:w="3312"/>
            <w:shd w:fill="FFFFFF"/>
            <w:tcMar>
              <w:top w:w="80" w:type="dxa"/>
              <w:bottom w:w="80" w:type="dxa"/>
              <w:left w:w="120" w:type="dxa"/>
              <w:right w:w="120" w:type="dxa"/>
            </w:tcMar>
          </w:tcPr>
          <w:p>
            <w:r>
              <w:rPr>
                <w:rFonts w:ascii="Calibri" w:hAnsi="Calibri"/>
                <w:color w:val="1E293B"/>
                <w:sz w:val="18"/>
              </w:rPr>
              <w:t>USB VID/PID verification, BadUSB quarantine &amp; SHA-256 chain</w:t>
            </w:r>
          </w:p>
        </w:tc>
      </w:tr>
      <w:tr>
        <w:tc>
          <w:tcPr>
            <w:tcW w:type="dxa" w:w="3312"/>
            <w:shd w:fill="F8FAFC"/>
            <w:tcMar>
              <w:top w:w="80" w:type="dxa"/>
              <w:bottom w:w="80" w:type="dxa"/>
              <w:left w:w="120" w:type="dxa"/>
              <w:right w:w="120" w:type="dxa"/>
            </w:tcMar>
          </w:tcPr>
          <w:p>
            <w:r>
              <w:rPr>
                <w:rFonts w:ascii="Calibri" w:hAnsi="Calibri"/>
                <w:color w:val="1E293B"/>
                <w:sz w:val="18"/>
              </w:rPr>
              <w:t>06</w:t>
            </w:r>
          </w:p>
        </w:tc>
        <w:tc>
          <w:tcPr>
            <w:tcW w:type="dxa" w:w="3312"/>
            <w:shd w:fill="F8FAFC"/>
            <w:tcMar>
              <w:top w:w="80" w:type="dxa"/>
              <w:bottom w:w="80" w:type="dxa"/>
              <w:left w:w="120" w:type="dxa"/>
              <w:right w:w="120" w:type="dxa"/>
            </w:tcMar>
          </w:tcPr>
          <w:p>
            <w:r>
              <w:rPr>
                <w:rFonts w:ascii="Calibri" w:hAnsi="Calibri"/>
                <w:color w:val="1E293B"/>
                <w:sz w:val="18"/>
              </w:rPr>
              <w:t>[Autonomous FinOps &amp; Statutory Duty Engine](#slide-6-autonomous-finops--statutory-duty-engine)</w:t>
            </w:r>
          </w:p>
        </w:tc>
        <w:tc>
          <w:tcPr>
            <w:tcW w:type="dxa" w:w="3312"/>
            <w:shd w:fill="F8FAFC"/>
            <w:tcMar>
              <w:top w:w="80" w:type="dxa"/>
              <w:bottom w:w="80" w:type="dxa"/>
              <w:left w:w="120" w:type="dxa"/>
              <w:right w:w="120" w:type="dxa"/>
            </w:tcMar>
          </w:tcPr>
          <w:p>
            <w:r>
              <w:rPr>
                <w:rFonts w:ascii="Calibri" w:hAnsi="Calibri"/>
                <w:color w:val="1E293B"/>
                <w:sz w:val="18"/>
              </w:rPr>
              <w:t>Prepaid card ledger &amp; integer paise customs duty calculation</w:t>
            </w:r>
          </w:p>
        </w:tc>
      </w:tr>
      <w:tr>
        <w:tc>
          <w:tcPr>
            <w:tcW w:type="dxa" w:w="3312"/>
            <w:shd w:fill="FFFFFF"/>
            <w:tcMar>
              <w:top w:w="80" w:type="dxa"/>
              <w:bottom w:w="80" w:type="dxa"/>
              <w:left w:w="120" w:type="dxa"/>
              <w:right w:w="120" w:type="dxa"/>
            </w:tcMar>
          </w:tcPr>
          <w:p>
            <w:r>
              <w:rPr>
                <w:rFonts w:ascii="Calibri" w:hAnsi="Calibri"/>
                <w:color w:val="1E293B"/>
                <w:sz w:val="18"/>
              </w:rPr>
              <w:t>07</w:t>
            </w:r>
          </w:p>
        </w:tc>
        <w:tc>
          <w:tcPr>
            <w:tcW w:type="dxa" w:w="3312"/>
            <w:shd w:fill="FFFFFF"/>
            <w:tcMar>
              <w:top w:w="80" w:type="dxa"/>
              <w:bottom w:w="80" w:type="dxa"/>
              <w:left w:w="120" w:type="dxa"/>
              <w:right w:w="120" w:type="dxa"/>
            </w:tcMar>
          </w:tcPr>
          <w:p>
            <w:r>
              <w:rPr>
                <w:rFonts w:ascii="Calibri" w:hAnsi="Calibri"/>
                <w:color w:val="1E293B"/>
                <w:sz w:val="18"/>
              </w:rPr>
              <w:t>[Consumption Anomaly Heuristic &amp; Telemetry](#slide-7-consumption-anomaly-heuristic--telemetry)</w:t>
            </w:r>
          </w:p>
        </w:tc>
        <w:tc>
          <w:tcPr>
            <w:tcW w:type="dxa" w:w="3312"/>
            <w:shd w:fill="FFFFFF"/>
            <w:tcMar>
              <w:top w:w="80" w:type="dxa"/>
              <w:bottom w:w="80" w:type="dxa"/>
              <w:left w:w="120" w:type="dxa"/>
              <w:right w:w="120" w:type="dxa"/>
            </w:tcMar>
          </w:tcPr>
          <w:p>
            <w:r>
              <w:rPr>
                <w:rFonts w:ascii="Calibri" w:hAnsi="Calibri"/>
                <w:color w:val="1E293B"/>
                <w:sz w:val="18"/>
              </w:rPr>
              <w:t>Predictive shrinkage prevention &amp; real-time floor occupancy</w:t>
            </w:r>
          </w:p>
        </w:tc>
      </w:tr>
      <w:tr>
        <w:tc>
          <w:tcPr>
            <w:tcW w:type="dxa" w:w="3312"/>
            <w:shd w:fill="F8FAFC"/>
            <w:tcMar>
              <w:top w:w="80" w:type="dxa"/>
              <w:bottom w:w="80" w:type="dxa"/>
              <w:left w:w="120" w:type="dxa"/>
              <w:right w:w="120" w:type="dxa"/>
            </w:tcMar>
          </w:tcPr>
          <w:p>
            <w:r>
              <w:rPr>
                <w:rFonts w:ascii="Calibri" w:hAnsi="Calibri"/>
                <w:color w:val="1E293B"/>
                <w:sz w:val="18"/>
              </w:rPr>
              <w:t>08</w:t>
            </w:r>
          </w:p>
        </w:tc>
        <w:tc>
          <w:tcPr>
            <w:tcW w:type="dxa" w:w="3312"/>
            <w:shd w:fill="F8FAFC"/>
            <w:tcMar>
              <w:top w:w="80" w:type="dxa"/>
              <w:bottom w:w="80" w:type="dxa"/>
              <w:left w:w="120" w:type="dxa"/>
              <w:right w:w="120" w:type="dxa"/>
            </w:tcMar>
          </w:tcPr>
          <w:p>
            <w:r>
              <w:rPr>
                <w:rFonts w:ascii="Calibri" w:hAnsi="Calibri"/>
                <w:color w:val="1E293B"/>
                <w:sz w:val="18"/>
              </w:rPr>
              <w:t>[Total Addressable Market (TAM) &amp; Tailwinds](#slide-8-total-addressable-market-tam--tailwinds)</w:t>
            </w:r>
          </w:p>
        </w:tc>
        <w:tc>
          <w:tcPr>
            <w:tcW w:type="dxa" w:w="3312"/>
            <w:shd w:fill="F8FAFC"/>
            <w:tcMar>
              <w:top w:w="80" w:type="dxa"/>
              <w:bottom w:w="80" w:type="dxa"/>
              <w:left w:w="120" w:type="dxa"/>
              <w:right w:w="120" w:type="dxa"/>
            </w:tcMar>
          </w:tcPr>
          <w:p>
            <w:r>
              <w:rPr>
                <w:rFonts w:ascii="Calibri" w:hAnsi="Calibri"/>
                <w:color w:val="1E293B"/>
                <w:sz w:val="18"/>
              </w:rPr>
              <w:t>$48.2B global smart office &amp; commercial AV market</w:t>
            </w:r>
          </w:p>
        </w:tc>
      </w:tr>
      <w:tr>
        <w:tc>
          <w:tcPr>
            <w:tcW w:type="dxa" w:w="3312"/>
            <w:shd w:fill="FFFFFF"/>
            <w:tcMar>
              <w:top w:w="80" w:type="dxa"/>
              <w:bottom w:w="80" w:type="dxa"/>
              <w:left w:w="120" w:type="dxa"/>
              <w:right w:w="120" w:type="dxa"/>
            </w:tcMar>
          </w:tcPr>
          <w:p>
            <w:r>
              <w:rPr>
                <w:rFonts w:ascii="Calibri" w:hAnsi="Calibri"/>
                <w:color w:val="1E293B"/>
                <w:sz w:val="18"/>
              </w:rPr>
              <w:t>09</w:t>
            </w:r>
          </w:p>
        </w:tc>
        <w:tc>
          <w:tcPr>
            <w:tcW w:type="dxa" w:w="3312"/>
            <w:shd w:fill="FFFFFF"/>
            <w:tcMar>
              <w:top w:w="80" w:type="dxa"/>
              <w:bottom w:w="80" w:type="dxa"/>
              <w:left w:w="120" w:type="dxa"/>
              <w:right w:w="120" w:type="dxa"/>
            </w:tcMar>
          </w:tcPr>
          <w:p>
            <w:r>
              <w:rPr>
                <w:rFonts w:ascii="Calibri" w:hAnsi="Calibri"/>
                <w:color w:val="1E293B"/>
                <w:sz w:val="18"/>
              </w:rPr>
              <w:t>[Business Model &amp; Monetization Engine](#slide-9-business-model--monetization-engine)</w:t>
            </w:r>
          </w:p>
        </w:tc>
        <w:tc>
          <w:tcPr>
            <w:tcW w:type="dxa" w:w="3312"/>
            <w:shd w:fill="FFFFFF"/>
            <w:tcMar>
              <w:top w:w="80" w:type="dxa"/>
              <w:bottom w:w="80" w:type="dxa"/>
              <w:left w:w="120" w:type="dxa"/>
              <w:right w:w="120" w:type="dxa"/>
            </w:tcMar>
          </w:tcPr>
          <w:p>
            <w:r>
              <w:rPr>
                <w:rFonts w:ascii="Calibri" w:hAnsi="Calibri"/>
                <w:color w:val="1E293B"/>
                <w:sz w:val="18"/>
              </w:rPr>
              <w:t>High-margin Hardware-as-a-Service (HaaS) + Enterprise SaaS</w:t>
            </w:r>
          </w:p>
        </w:tc>
      </w:tr>
      <w:tr>
        <w:tc>
          <w:tcPr>
            <w:tcW w:type="dxa" w:w="3312"/>
            <w:shd w:fill="F8FAFC"/>
            <w:tcMar>
              <w:top w:w="80" w:type="dxa"/>
              <w:bottom w:w="80" w:type="dxa"/>
              <w:left w:w="120" w:type="dxa"/>
              <w:right w:w="120" w:type="dxa"/>
            </w:tcMar>
          </w:tcPr>
          <w:p>
            <w:r>
              <w:rPr>
                <w:rFonts w:ascii="Calibri" w:hAnsi="Calibri"/>
                <w:color w:val="1E293B"/>
                <w:sz w:val="18"/>
              </w:rPr>
              <w:t>10</w:t>
            </w:r>
          </w:p>
        </w:tc>
        <w:tc>
          <w:tcPr>
            <w:tcW w:type="dxa" w:w="3312"/>
            <w:shd w:fill="F8FAFC"/>
            <w:tcMar>
              <w:top w:w="80" w:type="dxa"/>
              <w:bottom w:w="80" w:type="dxa"/>
              <w:left w:w="120" w:type="dxa"/>
              <w:right w:w="120" w:type="dxa"/>
            </w:tcMar>
          </w:tcPr>
          <w:p>
            <w:r>
              <w:rPr>
                <w:rFonts w:ascii="Calibri" w:hAnsi="Calibri"/>
                <w:color w:val="1E293B"/>
                <w:sz w:val="18"/>
              </w:rPr>
              <w:t>[Competitive Moat &amp; Landscape](#slide-10-competitive-moat--landscape)</w:t>
            </w:r>
          </w:p>
        </w:tc>
        <w:tc>
          <w:tcPr>
            <w:tcW w:type="dxa" w:w="3312"/>
            <w:shd w:fill="F8FAFC"/>
            <w:tcMar>
              <w:top w:w="80" w:type="dxa"/>
              <w:bottom w:w="80" w:type="dxa"/>
              <w:left w:w="120" w:type="dxa"/>
              <w:right w:w="120" w:type="dxa"/>
            </w:tcMar>
          </w:tcPr>
          <w:p>
            <w:r>
              <w:rPr>
                <w:rFonts w:ascii="Calibri" w:hAnsi="Calibri"/>
                <w:color w:val="1E293B"/>
                <w:sz w:val="18"/>
              </w:rPr>
              <w:t>Proprietary triage logic, electrical verification &amp; FinOps sync</w:t>
            </w:r>
          </w:p>
        </w:tc>
      </w:tr>
      <w:tr>
        <w:tc>
          <w:tcPr>
            <w:tcW w:type="dxa" w:w="3312"/>
            <w:shd w:fill="FFFFFF"/>
            <w:tcMar>
              <w:top w:w="80" w:type="dxa"/>
              <w:bottom w:w="80" w:type="dxa"/>
              <w:left w:w="120" w:type="dxa"/>
              <w:right w:w="120" w:type="dxa"/>
            </w:tcMar>
          </w:tcPr>
          <w:p>
            <w:r>
              <w:rPr>
                <w:rFonts w:ascii="Calibri" w:hAnsi="Calibri"/>
                <w:color w:val="1E293B"/>
                <w:sz w:val="18"/>
              </w:rPr>
              <w:t>11</w:t>
            </w:r>
          </w:p>
        </w:tc>
        <w:tc>
          <w:tcPr>
            <w:tcW w:type="dxa" w:w="3312"/>
            <w:shd w:fill="FFFFFF"/>
            <w:tcMar>
              <w:top w:w="80" w:type="dxa"/>
              <w:bottom w:w="80" w:type="dxa"/>
              <w:left w:w="120" w:type="dxa"/>
              <w:right w:w="120" w:type="dxa"/>
            </w:tcMar>
          </w:tcPr>
          <w:p>
            <w:r>
              <w:rPr>
                <w:rFonts w:ascii="Calibri" w:hAnsi="Calibri"/>
                <w:color w:val="1E293B"/>
                <w:sz w:val="18"/>
              </w:rPr>
              <w:t>[Unit Economics &amp; Customer ROI Case Study](#slide-11-unit-economics--customer-roi-case-study)</w:t>
            </w:r>
          </w:p>
        </w:tc>
        <w:tc>
          <w:tcPr>
            <w:tcW w:type="dxa" w:w="3312"/>
            <w:shd w:fill="FFFFFF"/>
            <w:tcMar>
              <w:top w:w="80" w:type="dxa"/>
              <w:bottom w:w="80" w:type="dxa"/>
              <w:left w:w="120" w:type="dxa"/>
              <w:right w:w="120" w:type="dxa"/>
            </w:tcMar>
          </w:tcPr>
          <w:p>
            <w:r>
              <w:rPr>
                <w:rFonts w:ascii="Calibri" w:hAnsi="Calibri"/>
                <w:color w:val="1E293B"/>
                <w:sz w:val="18"/>
              </w:rPr>
              <w:t>574% Year-1 ROI; payback period under 2.5 months</w:t>
            </w:r>
          </w:p>
        </w:tc>
      </w:tr>
      <w:tr>
        <w:tc>
          <w:tcPr>
            <w:tcW w:type="dxa" w:w="3312"/>
            <w:shd w:fill="F8FAFC"/>
            <w:tcMar>
              <w:top w:w="80" w:type="dxa"/>
              <w:bottom w:w="80" w:type="dxa"/>
              <w:left w:w="120" w:type="dxa"/>
              <w:right w:w="120" w:type="dxa"/>
            </w:tcMar>
          </w:tcPr>
          <w:p>
            <w:r>
              <w:rPr>
                <w:rFonts w:ascii="Calibri" w:hAnsi="Calibri"/>
                <w:color w:val="1E293B"/>
                <w:sz w:val="18"/>
              </w:rPr>
              <w:t>12</w:t>
            </w:r>
          </w:p>
        </w:tc>
        <w:tc>
          <w:tcPr>
            <w:tcW w:type="dxa" w:w="3312"/>
            <w:shd w:fill="F8FAFC"/>
            <w:tcMar>
              <w:top w:w="80" w:type="dxa"/>
              <w:bottom w:w="80" w:type="dxa"/>
              <w:left w:w="120" w:type="dxa"/>
              <w:right w:w="120" w:type="dxa"/>
            </w:tcMar>
          </w:tcPr>
          <w:p>
            <w:r>
              <w:rPr>
                <w:rFonts w:ascii="Calibri" w:hAnsi="Calibri"/>
                <w:color w:val="1E293B"/>
                <w:sz w:val="18"/>
              </w:rPr>
              <w:t>[Go-To-Market (GTM) Playbook &amp; 18-Month Roadmap](#slide-12-go-to-market-gtm-playbook--18-month-roadmap)</w:t>
            </w:r>
          </w:p>
        </w:tc>
        <w:tc>
          <w:tcPr>
            <w:tcW w:type="dxa" w:w="3312"/>
            <w:shd w:fill="F8FAFC"/>
            <w:tcMar>
              <w:top w:w="80" w:type="dxa"/>
              <w:bottom w:w="80" w:type="dxa"/>
              <w:left w:w="120" w:type="dxa"/>
              <w:right w:w="120" w:type="dxa"/>
            </w:tcMar>
          </w:tcPr>
          <w:p>
            <w:r>
              <w:rPr>
                <w:rFonts w:ascii="Calibri" w:hAnsi="Calibri"/>
                <w:color w:val="1E293B"/>
                <w:sz w:val="18"/>
              </w:rPr>
              <w:t>Channel partnerships, enterprise pilot rollout &amp; capital allocation</w:t>
            </w:r>
          </w:p>
        </w:tc>
      </w:tr>
    </w:tbl>
    <w:p>
      <w:pPr>
        <w:spacing w:after="80"/>
      </w:pPr>
    </w:p>
    <w:p>
      <w:r>
        <w:br w:type="page"/>
      </w:r>
    </w:p>
    <w:p>
      <w:pPr>
        <w:spacing w:before="0" w:after="120"/>
      </w:pPr>
      <w:r>
        <w:rPr>
          <w:rFonts w:ascii="Calibri" w:hAnsi="Calibri"/>
          <w:b/>
          <w:color w:val="0284C7"/>
          <w:sz w:val="40"/>
        </w:rPr>
        <w:t>Slide 1: Executive Vision &amp; Core Identity</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w:t>
              <w:br/>
              <w:t>║                                        KIOSKDROP ENTERPRISE                                       ║</w:t>
              <w:br/>
              <w:t>║                       Zero "Last-Meter" Downtime for the Modern Hybrid Workplace                  ║</w:t>
              <w:br/>
              <w:t>╚═══════════════════════════════════════════════════════════════════════════════════════════════════╝</w:t>
            </w:r>
          </w:p>
        </w:tc>
      </w:tr>
    </w:tbl>
    <w:p>
      <w:pPr>
        <w:spacing w:after="80"/>
      </w:pPr>
    </w:p>
    <w:p>
      <w:pPr>
        <w:spacing w:before="200" w:after="80"/>
      </w:pPr>
      <w:r>
        <w:rPr>
          <w:rFonts w:ascii="Calibri" w:hAnsi="Calibri"/>
          <w:b/>
          <w:color w:val="0F172A"/>
          <w:sz w:val="26"/>
        </w:rPr>
        <w:t>The Mission</w:t>
      </w:r>
    </w:p>
    <w:p>
      <w:pPr>
        <w:spacing w:before="60" w:after="80"/>
      </w:pPr>
      <w:r>
        <w:rPr>
          <w:rFonts w:ascii="Calibri" w:hAnsi="Calibri"/>
          <w:color w:val="1E293B"/>
          <w:sz w:val="20"/>
        </w:rPr>
        <w:t>To eliminate boardroom Audio/Visual (AV) failures, eliminate executive presentation friction, and automate peripheral micro-logistics in enterprise workplaces through secure, IoT-connected smart lockers.</w:t>
      </w:r>
    </w:p>
    <w:p>
      <w:pPr>
        <w:spacing w:before="200" w:after="80"/>
      </w:pPr>
      <w:r>
        <w:rPr>
          <w:rFonts w:ascii="Calibri" w:hAnsi="Calibri"/>
          <w:b/>
          <w:color w:val="0F172A"/>
          <w:sz w:val="26"/>
        </w:rPr>
        <w:t>The Value Proposition in One Sentence</w:t>
      </w:r>
    </w:p>
    <w:tbl>
      <w:tblPr>
        <w:tblW w:type="auto" w:w="0"/>
        <w:jc w:val="center"/>
        <w:tblLook w:firstColumn="1" w:firstRow="1" w:lastColumn="0" w:lastRow="0" w:noHBand="0" w:noVBand="1" w:val="04A0"/>
      </w:tblPr>
      <w:tblGrid>
        <w:gridCol w:w="9936"/>
      </w:tblGrid>
      <w:tr>
        <w:tc>
          <w:tcPr>
            <w:tcW w:type="dxa" w:w="9936"/>
            <w:shd w:fill="E0F2FE"/>
            <w:tcMar>
              <w:top w:w="120" w:type="dxa"/>
              <w:bottom w:w="120" w:type="dxa"/>
              <w:left w:w="180" w:type="dxa"/>
              <w:right w:w="180" w:type="dxa"/>
            </w:tcMar>
          </w:tcPr>
          <w:p>
            <w:pPr>
              <w:spacing w:before="40" w:after="40"/>
            </w:pPr>
            <w:r>
              <w:rPr>
                <w:rFonts w:ascii="Calibri" w:hAnsi="Calibri"/>
                <w:i/>
                <w:color w:val="0369A1"/>
                <w:sz w:val="21"/>
              </w:rPr>
              <w:t>KioskDrop Enterprise replaces 25-minute IT helpdesk tickets with a 10-second physical hardware retrieval pass, backed by zero-trust cybersecurity whitelisting and autonomous ERP replenishment.</w:t>
            </w:r>
          </w:p>
        </w:tc>
      </w:tr>
    </w:tbl>
    <w:p>
      <w:pPr>
        <w:spacing w:after="80"/>
      </w:pPr>
    </w:p>
    <w:p>
      <w:pPr>
        <w:spacing w:before="200" w:after="80"/>
      </w:pPr>
      <w:r>
        <w:rPr>
          <w:rFonts w:ascii="Calibri" w:hAnsi="Calibri"/>
          <w:b/>
          <w:color w:val="0F172A"/>
          <w:sz w:val="26"/>
        </w:rPr>
        <w:t>Key Executive Highlights</w:t>
      </w:r>
    </w:p>
    <w:p>
      <w:pPr>
        <w:pStyle w:val="ListBullet"/>
        <w:spacing w:before="40" w:after="40"/>
      </w:pPr>
      <w:r>
        <w:rPr>
          <w:rFonts w:ascii="Calibri" w:hAnsi="Calibri"/>
          <w:color w:val="1E293B"/>
          <w:sz w:val="20"/>
        </w:rPr>
      </w:r>
      <w:r>
        <w:rPr>
          <w:rFonts w:ascii="Calibri" w:hAnsi="Calibri"/>
          <w:b/>
          <w:color w:val="1E293B"/>
          <w:sz w:val="20"/>
        </w:rPr>
        <w:t>Autonomous Micro-Logistics:</w:t>
      </w:r>
      <w:r>
        <w:rPr>
          <w:rFonts w:ascii="Calibri" w:hAnsi="Calibri"/>
          <w:color w:val="1E293B"/>
          <w:sz w:val="20"/>
        </w:rPr>
        <w:t xml:space="preserve"> Distributed 12-bay smart lockers deployed directly on corporate office floors.</w:t>
      </w:r>
    </w:p>
    <w:p>
      <w:pPr>
        <w:pStyle w:val="ListBullet"/>
        <w:spacing w:before="40" w:after="40"/>
      </w:pPr>
      <w:r>
        <w:rPr>
          <w:rFonts w:ascii="Calibri" w:hAnsi="Calibri"/>
          <w:color w:val="1E293B"/>
          <w:sz w:val="20"/>
        </w:rPr>
      </w:r>
      <w:r>
        <w:rPr>
          <w:rFonts w:ascii="Calibri" w:hAnsi="Calibri"/>
          <w:b/>
          <w:color w:val="1E293B"/>
          <w:sz w:val="20"/>
        </w:rPr>
        <w:t>Instant QR Triage:</w:t>
      </w:r>
      <w:r>
        <w:rPr>
          <w:rFonts w:ascii="Calibri" w:hAnsi="Calibri"/>
          <w:color w:val="1E293B"/>
          <w:sz w:val="20"/>
        </w:rPr>
        <w:t xml:space="preserve"> 3-tap symptom diagnosis generating a 6-digit cryptographic OTP in $&lt; 30$ seconds.</w:t>
      </w:r>
    </w:p>
    <w:p>
      <w:pPr>
        <w:pStyle w:val="ListBullet"/>
        <w:spacing w:before="40" w:after="40"/>
      </w:pPr>
      <w:r>
        <w:rPr>
          <w:rFonts w:ascii="Calibri" w:hAnsi="Calibri"/>
          <w:color w:val="1E293B"/>
          <w:sz w:val="20"/>
        </w:rPr>
      </w:r>
      <w:r>
        <w:rPr>
          <w:rFonts w:ascii="Calibri" w:hAnsi="Calibri"/>
          <w:b/>
          <w:color w:val="1E293B"/>
          <w:sz w:val="20"/>
        </w:rPr>
        <w:t>Zero-Trust Security:</w:t>
      </w:r>
      <w:r>
        <w:rPr>
          <w:rFonts w:ascii="Calibri" w:hAnsi="Calibri"/>
          <w:color w:val="1E293B"/>
          <w:sz w:val="20"/>
        </w:rPr>
        <w:t xml:space="preserve"> Hardware-level USB VID/PID inspection with automated BadUSB quarantine isolation.</w:t>
      </w:r>
    </w:p>
    <w:p>
      <w:pPr>
        <w:pStyle w:val="ListBullet"/>
        <w:spacing w:before="40" w:after="40"/>
      </w:pPr>
      <w:r>
        <w:rPr>
          <w:rFonts w:ascii="Calibri" w:hAnsi="Calibri"/>
          <w:color w:val="1E293B"/>
          <w:sz w:val="20"/>
        </w:rPr>
      </w:r>
      <w:r>
        <w:rPr>
          <w:rFonts w:ascii="Calibri" w:hAnsi="Calibri"/>
          <w:b/>
          <w:color w:val="1E293B"/>
          <w:sz w:val="20"/>
        </w:rPr>
        <w:t>FinOps Automation:</w:t>
      </w:r>
      <w:r>
        <w:rPr>
          <w:rFonts w:ascii="Calibri" w:hAnsi="Calibri"/>
          <w:color w:val="1E293B"/>
          <w:sz w:val="20"/>
        </w:rPr>
        <w:t xml:space="preserve"> Frictionless restock purchase orders mapped directly to SAP S/4HANA, Oracle NetSuite, and Zoho Books via virtual prepaid cards.</w:t>
      </w:r>
    </w:p>
    <w:p>
      <w:r>
        <w:br w:type="page"/>
      </w:r>
    </w:p>
    <w:p>
      <w:pPr>
        <w:spacing w:before="0" w:after="120"/>
      </w:pPr>
      <w:r>
        <w:rPr>
          <w:rFonts w:ascii="Calibri" w:hAnsi="Calibri"/>
          <w:b/>
          <w:color w:val="0284C7"/>
          <w:sz w:val="40"/>
        </w:rPr>
        <w:t>Slide 2: The Problem: The "Last-Meter" AV Crisis</w:t>
      </w:r>
    </w:p>
    <w:p>
      <w:pPr>
        <w:spacing w:before="60" w:after="80"/>
      </w:pPr>
      <w:r>
        <w:rPr>
          <w:rFonts w:ascii="Calibri" w:hAnsi="Calibri"/>
          <w:color w:val="1E293B"/>
          <w:sz w:val="20"/>
        </w:rPr>
        <w:t xml:space="preserve">Executive time is an enterprise's most expensive asset. Yet corporate conference rooms suffer from a persistent, unaddressed operational failure: </w:t>
      </w:r>
      <w:r>
        <w:rPr>
          <w:rFonts w:ascii="Calibri" w:hAnsi="Calibri"/>
          <w:b/>
          <w:color w:val="1E293B"/>
          <w:sz w:val="20"/>
        </w:rPr>
        <w:t>the final 3 feet of connectivity.</w:t>
      </w:r>
      <w:r>
        <w:rPr>
          <w:rFonts w:ascii="Calibri" w:hAnsi="Calibri"/>
          <w:color w:val="1E293B"/>
          <w:sz w:val="20"/>
        </w:rPr>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pie title Enterprise Meeting Delays Root Causes</w:t>
              <w:br/>
              <w:t xml:space="preserve">    "Missing / Broken USB-C &amp; HDMI Adapters" : 48</w:t>
              <w:br/>
              <w:t xml:space="preserve">    "Dead Presentation Clickers / Batteries" : 22</w:t>
              <w:br/>
              <w:t xml:space="preserve">    "Damaged Wall Plates &amp; Cables" : 14</w:t>
              <w:br/>
              <w:t xml:space="preserve">    "Software &amp; Codec Issues" : 16</w:t>
            </w:r>
          </w:p>
        </w:tc>
      </w:tr>
    </w:tbl>
    <w:p>
      <w:pPr>
        <w:spacing w:after="80"/>
      </w:pPr>
    </w:p>
    <w:p>
      <w:pPr>
        <w:spacing w:before="200" w:after="80"/>
      </w:pPr>
      <w:r>
        <w:rPr>
          <w:rFonts w:ascii="Calibri" w:hAnsi="Calibri"/>
          <w:b/>
          <w:color w:val="0F172A"/>
          <w:sz w:val="26"/>
        </w:rPr>
        <w:t>The Three Critical Breakdown Pillars</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  ┌──────────────────────────────────────┐  ┌──────────────────────────────────────┐</w:t>
              <w:br/>
              <w:t>│       1. The 15-Minute Delay         │  │       2. Massive Shrinkage           │  │       3. Cybersecurity Hazard        │</w:t>
              <w:br/>
              <w:t>├──────────────────────────────────────┤  ├──────────────────────────────────────┤  ├──────────────────────────────────────┤</w:t>
              <w:br/>
              <w:t>│ High-stakes executive meetings stall │  │ Corporate AV adapters routinely walk │  │ Desperate employees bring untrusted, │</w:t>
              <w:br/>
              <w:t>│ due to missing USB-C hubs, 4K HDMI   │  │ out of meeting rooms into personal   │  │ "found", or counterfeit dongles     │</w:t>
              <w:br/>
              <w:t>│ cables, or dead clicker batteries.   │  │ laptop bags. Zero inventory custody. │  │ risking BadUSB keystroke malware.   │</w:t>
              <w:br/>
              <w:t>│ Average IT dispatch time: 18-32 min. │  │ Annual peripheral loss: $18K/campus. │  │ SOC has zero endpoint visibility.  │</w:t>
              <w:br/>
              <w:t>└──────────────────────────────────────┘  └──────────────────────────────────────┘  └──────────────────────────────────────┘</w:t>
            </w:r>
          </w:p>
        </w:tc>
      </w:tr>
    </w:tbl>
    <w:p>
      <w:pPr>
        <w:spacing w:after="80"/>
      </w:pPr>
    </w:p>
    <w:p>
      <w:pPr>
        <w:pStyle w:val="ListBullet"/>
        <w:spacing w:before="40" w:after="40"/>
      </w:pPr>
      <w:r>
        <w:rPr>
          <w:rFonts w:ascii="Calibri" w:hAnsi="Calibri"/>
          <w:color w:val="1E293B"/>
          <w:sz w:val="20"/>
        </w:rPr>
      </w:r>
      <w:r>
        <w:rPr>
          <w:rFonts w:ascii="Calibri" w:hAnsi="Calibri"/>
          <w:b/>
          <w:color w:val="1E293B"/>
          <w:sz w:val="20"/>
        </w:rPr>
        <w:t>Financial Drag:</w:t>
      </w:r>
      <w:r>
        <w:rPr>
          <w:rFonts w:ascii="Calibri" w:hAnsi="Calibri"/>
          <w:color w:val="1E293B"/>
          <w:sz w:val="20"/>
        </w:rPr>
        <w:t xml:space="preserve"> In a 1,500-person corporate campus, AV friction accounts for </w:t>
      </w:r>
      <w:r>
        <w:rPr>
          <w:rFonts w:ascii="Calibri" w:hAnsi="Calibri"/>
          <w:b/>
          <w:color w:val="1E293B"/>
          <w:sz w:val="20"/>
        </w:rPr>
        <w:t>~420 lost executive hours annually</w:t>
      </w:r>
      <w:r>
        <w:rPr>
          <w:rFonts w:ascii="Calibri" w:hAnsi="Calibri"/>
          <w:color w:val="1E293B"/>
          <w:sz w:val="20"/>
        </w:rPr>
        <w:t xml:space="preserve">, equivalent to </w:t>
      </w:r>
      <w:r>
        <w:rPr>
          <w:rFonts w:ascii="Calibri" w:hAnsi="Calibri"/>
          <w:b/>
          <w:color w:val="1E293B"/>
          <w:sz w:val="20"/>
        </w:rPr>
        <w:t>&gt;$145,000 in direct wage waste</w:t>
      </w:r>
      <w:r>
        <w:rPr>
          <w:rFonts w:ascii="Calibri" w:hAnsi="Calibri"/>
          <w:color w:val="1E293B"/>
          <w:sz w:val="20"/>
        </w:rPr>
        <w:t>.</w:t>
      </w:r>
    </w:p>
    <w:p>
      <w:pPr>
        <w:pStyle w:val="ListBullet"/>
        <w:spacing w:before="40" w:after="40"/>
      </w:pPr>
      <w:r>
        <w:rPr>
          <w:rFonts w:ascii="Calibri" w:hAnsi="Calibri"/>
          <w:color w:val="1E293B"/>
          <w:sz w:val="20"/>
        </w:rPr>
      </w:r>
      <w:r>
        <w:rPr>
          <w:rFonts w:ascii="Calibri" w:hAnsi="Calibri"/>
          <w:b/>
          <w:color w:val="1E293B"/>
          <w:sz w:val="20"/>
        </w:rPr>
        <w:t>Reputational Cost:</w:t>
      </w:r>
      <w:r>
        <w:rPr>
          <w:rFonts w:ascii="Calibri" w:hAnsi="Calibri"/>
          <w:color w:val="1E293B"/>
          <w:sz w:val="20"/>
        </w:rPr>
        <w:t xml:space="preserve"> Presentation failures during client pitches, board meetings, and investor presentations degrade organizational prestige.</w:t>
      </w:r>
    </w:p>
    <w:p>
      <w:r>
        <w:br w:type="page"/>
      </w:r>
    </w:p>
    <w:p>
      <w:pPr>
        <w:spacing w:before="0" w:after="120"/>
      </w:pPr>
      <w:r>
        <w:rPr>
          <w:rFonts w:ascii="Calibri" w:hAnsi="Calibri"/>
          <w:b/>
          <w:color w:val="0284C7"/>
          <w:sz w:val="40"/>
        </w:rPr>
        <w:t>Slide 3: The Solution: Distributed Autonomous Micro-Logistics</w:t>
      </w:r>
    </w:p>
    <w:p>
      <w:pPr>
        <w:spacing w:before="60" w:after="80"/>
      </w:pPr>
      <w:r>
        <w:rPr>
          <w:rFonts w:ascii="Calibri" w:hAnsi="Calibri"/>
          <w:color w:val="1E293B"/>
          <w:sz w:val="20"/>
        </w:rPr>
        <w:t xml:space="preserve">KioskDrop Enterprise completely eliminates manual IT helpdesk dispatch by shifting AV hardware distribution to </w:t>
      </w:r>
      <w:r>
        <w:rPr>
          <w:rFonts w:ascii="Calibri" w:hAnsi="Calibri"/>
          <w:b/>
          <w:color w:val="1E293B"/>
          <w:sz w:val="20"/>
        </w:rPr>
        <w:t>autonomous edge lockers located adjacent to conference room clusters.</w:t>
      </w:r>
      <w:r>
        <w:rPr>
          <w:rFonts w:ascii="Calibri" w:hAnsi="Calibri"/>
          <w:color w:val="1E293B"/>
          <w:sz w:val="20"/>
        </w:rPr>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sequenceDiagram</w:t>
              <w:br/>
              <w:t xml:space="preserve">    autonumber</w:t>
              <w:br/>
              <w:t xml:space="preserve">    actor Employee as Presenter in Boardroom</w:t>
              <w:br/>
              <w:t xml:space="preserve">    participant QR as Meeting Room QR Portal</w:t>
              <w:br/>
              <w:t xml:space="preserve">    participant Engine as KioskDrop Core Engine</w:t>
              <w:br/>
              <w:t xml:space="preserve">    participant Locker as Floor 4 Smart Locker</w:t>
              <w:br/>
              <w:br/>
              <w:t xml:space="preserve">    Employee-&gt;&gt;QR: Scans Boardroom QR Code (URL with room &amp; floor context)</w:t>
              <w:br/>
              <w:t xml:space="preserve">    QR-&gt;&gt;Employee: Displays 5-Symptom Diagnostic Cards</w:t>
              <w:br/>
              <w:t xml:space="preserve">    Employee-&gt;&gt;QR: Taps "MacBook USB-C not projecting to HDMI"</w:t>
              <w:br/>
              <w:t xml:space="preserve">    QR-&gt;&gt;Engine: Submits triage payload</w:t>
              <w:br/>
              <w:t xml:space="preserve">    Engine-&gt;&gt;Engine: Atomically reserves nearest whitelisted asset (Floor 4)</w:t>
              <w:br/>
              <w:t xml:space="preserve">    Engine--&gt;&gt;QR: Generates 6-Digit Cryptographic OTP (10-min TTL)</w:t>
              <w:br/>
              <w:t xml:space="preserve">    Employee-&gt;&gt;Locker: Types 6-digit OTP on tactile keypad</w:t>
              <w:br/>
              <w:t xml:space="preserve">    Locker-&gt;&gt;Locker: Solenoid unlocks Bay 1 &amp; records IR break-beam departure</w:t>
              <w:br/>
              <w:t xml:space="preserve">    Employee-&gt;&gt;Employee: Plugs in genuine adapter; Meeting starts in &lt; 60 seconds!</w:t>
            </w:r>
          </w:p>
        </w:tc>
      </w:tr>
    </w:tbl>
    <w:p>
      <w:pPr>
        <w:spacing w:after="80"/>
      </w:pPr>
    </w:p>
    <w:p>
      <w:pPr>
        <w:spacing w:before="200" w:after="80"/>
      </w:pPr>
      <w:r>
        <w:rPr>
          <w:rFonts w:ascii="Calibri" w:hAnsi="Calibri"/>
          <w:b/>
          <w:color w:val="0F172A"/>
          <w:sz w:val="26"/>
        </w:rPr>
        <w:t>The Performance Leap</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20" w:type="dxa"/>
              <w:right w:w="120" w:type="dxa"/>
            </w:tcMar>
          </w:tcPr>
          <w:p>
            <w:pPr>
              <w:jc w:val="center"/>
            </w:pPr>
            <w:r>
              <w:rPr>
                <w:rFonts w:ascii="Calibri" w:hAnsi="Calibri"/>
                <w:b/>
                <w:color w:val="FFFFFF"/>
                <w:sz w:val="19"/>
              </w:rPr>
              <w:t>Metric</w:t>
            </w:r>
          </w:p>
        </w:tc>
        <w:tc>
          <w:tcPr>
            <w:tcW w:type="dxa" w:w="2484"/>
            <w:shd w:fill="0F172A"/>
            <w:tcMar>
              <w:top w:w="100" w:type="dxa"/>
              <w:bottom w:w="100" w:type="dxa"/>
              <w:left w:w="120" w:type="dxa"/>
              <w:right w:w="120" w:type="dxa"/>
            </w:tcMar>
          </w:tcPr>
          <w:p>
            <w:pPr>
              <w:jc w:val="center"/>
            </w:pPr>
            <w:r>
              <w:rPr>
                <w:rFonts w:ascii="Calibri" w:hAnsi="Calibri"/>
                <w:b/>
                <w:color w:val="FFFFFF"/>
                <w:sz w:val="19"/>
              </w:rPr>
              <w:t>Traditional IT Helpdesk Model</w:t>
            </w:r>
          </w:p>
        </w:tc>
        <w:tc>
          <w:tcPr>
            <w:tcW w:type="dxa" w:w="2484"/>
            <w:shd w:fill="0F172A"/>
            <w:tcMar>
              <w:top w:w="100" w:type="dxa"/>
              <w:bottom w:w="100" w:type="dxa"/>
              <w:left w:w="120" w:type="dxa"/>
              <w:right w:w="120" w:type="dxa"/>
            </w:tcMar>
          </w:tcPr>
          <w:p>
            <w:pPr>
              <w:jc w:val="center"/>
            </w:pPr>
            <w:r>
              <w:rPr>
                <w:rFonts w:ascii="Calibri" w:hAnsi="Calibri"/>
                <w:b/>
                <w:color w:val="FFFFFF"/>
                <w:sz w:val="19"/>
              </w:rPr>
              <w:t>KioskDrop Enterprise</w:t>
            </w:r>
          </w:p>
        </w:tc>
        <w:tc>
          <w:tcPr>
            <w:tcW w:type="dxa" w:w="2484"/>
            <w:shd w:fill="0F172A"/>
            <w:tcMar>
              <w:top w:w="100" w:type="dxa"/>
              <w:bottom w:w="100" w:type="dxa"/>
              <w:left w:w="120" w:type="dxa"/>
              <w:right w:w="120" w:type="dxa"/>
            </w:tcMar>
          </w:tcPr>
          <w:p>
            <w:pPr>
              <w:jc w:val="center"/>
            </w:pPr>
            <w:r>
              <w:rPr>
                <w:rFonts w:ascii="Calibri" w:hAnsi="Calibri"/>
                <w:b/>
                <w:color w:val="FFFFFF"/>
                <w:sz w:val="19"/>
              </w:rPr>
              <w:t>Improvement</w:t>
            </w:r>
          </w:p>
        </w:tc>
      </w:tr>
      <w:tr>
        <w:tc>
          <w:tcPr>
            <w:tcW w:type="dxa" w:w="2484"/>
            <w:shd w:fill="FFFFFF"/>
            <w:tcMar>
              <w:top w:w="80" w:type="dxa"/>
              <w:bottom w:w="80" w:type="dxa"/>
              <w:left w:w="120" w:type="dxa"/>
              <w:right w:w="120" w:type="dxa"/>
            </w:tcMar>
          </w:tcPr>
          <w:p>
            <w:r>
              <w:rPr>
                <w:rFonts w:ascii="Calibri" w:hAnsi="Calibri"/>
                <w:color w:val="1E293B"/>
                <w:sz w:val="18"/>
              </w:rPr>
              <w:t>Mean Time to Resolution (MTTR)</w:t>
            </w:r>
          </w:p>
        </w:tc>
        <w:tc>
          <w:tcPr>
            <w:tcW w:type="dxa" w:w="2484"/>
            <w:shd w:fill="FFFFFF"/>
            <w:tcMar>
              <w:top w:w="80" w:type="dxa"/>
              <w:bottom w:w="80" w:type="dxa"/>
              <w:left w:w="120" w:type="dxa"/>
              <w:right w:w="120" w:type="dxa"/>
            </w:tcMar>
          </w:tcPr>
          <w:p>
            <w:r>
              <w:rPr>
                <w:rFonts w:ascii="Calibri" w:hAnsi="Calibri"/>
                <w:color w:val="1E293B"/>
                <w:sz w:val="18"/>
              </w:rPr>
              <w:t>18–32 Minutes</w:t>
            </w:r>
          </w:p>
        </w:tc>
        <w:tc>
          <w:tcPr>
            <w:tcW w:type="dxa" w:w="2484"/>
            <w:shd w:fill="FFFFFF"/>
            <w:tcMar>
              <w:top w:w="80" w:type="dxa"/>
              <w:bottom w:w="80" w:type="dxa"/>
              <w:left w:w="120" w:type="dxa"/>
              <w:right w:w="120" w:type="dxa"/>
            </w:tcMar>
          </w:tcPr>
          <w:p>
            <w:r>
              <w:rPr>
                <w:rFonts w:ascii="Calibri" w:hAnsi="Calibri"/>
                <w:color w:val="1E293B"/>
                <w:sz w:val="18"/>
              </w:rPr>
              <w:t>45 Seconds</w:t>
            </w:r>
          </w:p>
        </w:tc>
        <w:tc>
          <w:tcPr>
            <w:tcW w:type="dxa" w:w="2484"/>
            <w:shd w:fill="FFFFFF"/>
            <w:tcMar>
              <w:top w:w="80" w:type="dxa"/>
              <w:bottom w:w="80" w:type="dxa"/>
              <w:left w:w="120" w:type="dxa"/>
              <w:right w:w="120" w:type="dxa"/>
            </w:tcMar>
          </w:tcPr>
          <w:p>
            <w:r>
              <w:rPr>
                <w:rFonts w:ascii="Calibri" w:hAnsi="Calibri"/>
                <w:color w:val="1E293B"/>
                <w:sz w:val="18"/>
              </w:rPr>
              <w:t>97.5% Faster</w:t>
            </w:r>
          </w:p>
        </w:tc>
      </w:tr>
      <w:tr>
        <w:tc>
          <w:tcPr>
            <w:tcW w:type="dxa" w:w="2484"/>
            <w:shd w:fill="F8FAFC"/>
            <w:tcMar>
              <w:top w:w="80" w:type="dxa"/>
              <w:bottom w:w="80" w:type="dxa"/>
              <w:left w:w="120" w:type="dxa"/>
              <w:right w:w="120" w:type="dxa"/>
            </w:tcMar>
          </w:tcPr>
          <w:p>
            <w:r>
              <w:rPr>
                <w:rFonts w:ascii="Calibri" w:hAnsi="Calibri"/>
                <w:color w:val="1E293B"/>
                <w:sz w:val="18"/>
              </w:rPr>
              <w:t>IT Staff Interventions</w:t>
            </w:r>
          </w:p>
        </w:tc>
        <w:tc>
          <w:tcPr>
            <w:tcW w:type="dxa" w:w="2484"/>
            <w:shd w:fill="F8FAFC"/>
            <w:tcMar>
              <w:top w:w="80" w:type="dxa"/>
              <w:bottom w:w="80" w:type="dxa"/>
              <w:left w:w="120" w:type="dxa"/>
              <w:right w:w="120" w:type="dxa"/>
            </w:tcMar>
          </w:tcPr>
          <w:p>
            <w:r>
              <w:rPr>
                <w:rFonts w:ascii="Calibri" w:hAnsi="Calibri"/>
                <w:color w:val="1E293B"/>
                <w:sz w:val="18"/>
              </w:rPr>
              <w:t>100% Manual Dispatch</w:t>
            </w:r>
          </w:p>
        </w:tc>
        <w:tc>
          <w:tcPr>
            <w:tcW w:type="dxa" w:w="2484"/>
            <w:shd w:fill="F8FAFC"/>
            <w:tcMar>
              <w:top w:w="80" w:type="dxa"/>
              <w:bottom w:w="80" w:type="dxa"/>
              <w:left w:w="120" w:type="dxa"/>
              <w:right w:w="120" w:type="dxa"/>
            </w:tcMar>
          </w:tcPr>
          <w:p>
            <w:r>
              <w:rPr>
                <w:rFonts w:ascii="Calibri" w:hAnsi="Calibri"/>
                <w:color w:val="1E293B"/>
                <w:sz w:val="18"/>
              </w:rPr>
              <w:t>0% (100% Autonomous)</w:t>
            </w:r>
          </w:p>
        </w:tc>
        <w:tc>
          <w:tcPr>
            <w:tcW w:type="dxa" w:w="2484"/>
            <w:shd w:fill="F8FAFC"/>
            <w:tcMar>
              <w:top w:w="80" w:type="dxa"/>
              <w:bottom w:w="80" w:type="dxa"/>
              <w:left w:w="120" w:type="dxa"/>
              <w:right w:w="120" w:type="dxa"/>
            </w:tcMar>
          </w:tcPr>
          <w:p>
            <w:r>
              <w:rPr>
                <w:rFonts w:ascii="Calibri" w:hAnsi="Calibri"/>
                <w:color w:val="1E293B"/>
                <w:sz w:val="18"/>
              </w:rPr>
              <w:t>Infinite Leverage</w:t>
            </w:r>
          </w:p>
        </w:tc>
      </w:tr>
      <w:tr>
        <w:tc>
          <w:tcPr>
            <w:tcW w:type="dxa" w:w="2484"/>
            <w:shd w:fill="FFFFFF"/>
            <w:tcMar>
              <w:top w:w="80" w:type="dxa"/>
              <w:bottom w:w="80" w:type="dxa"/>
              <w:left w:w="120" w:type="dxa"/>
              <w:right w:w="120" w:type="dxa"/>
            </w:tcMar>
          </w:tcPr>
          <w:p>
            <w:r>
              <w:rPr>
                <w:rFonts w:ascii="Calibri" w:hAnsi="Calibri"/>
                <w:color w:val="1E293B"/>
                <w:sz w:val="18"/>
              </w:rPr>
              <w:t>Inventory Accountability</w:t>
            </w:r>
          </w:p>
        </w:tc>
        <w:tc>
          <w:tcPr>
            <w:tcW w:type="dxa" w:w="2484"/>
            <w:shd w:fill="FFFFFF"/>
            <w:tcMar>
              <w:top w:w="80" w:type="dxa"/>
              <w:bottom w:w="80" w:type="dxa"/>
              <w:left w:w="120" w:type="dxa"/>
              <w:right w:w="120" w:type="dxa"/>
            </w:tcMar>
          </w:tcPr>
          <w:p>
            <w:r>
              <w:rPr>
                <w:rFonts w:ascii="Calibri" w:hAnsi="Calibri"/>
                <w:color w:val="1E293B"/>
                <w:sz w:val="18"/>
              </w:rPr>
              <w:t>None (Honor System)</w:t>
            </w:r>
          </w:p>
        </w:tc>
        <w:tc>
          <w:tcPr>
            <w:tcW w:type="dxa" w:w="2484"/>
            <w:shd w:fill="FFFFFF"/>
            <w:tcMar>
              <w:top w:w="80" w:type="dxa"/>
              <w:bottom w:w="80" w:type="dxa"/>
              <w:left w:w="120" w:type="dxa"/>
              <w:right w:w="120" w:type="dxa"/>
            </w:tcMar>
          </w:tcPr>
          <w:p>
            <w:r>
              <w:rPr>
                <w:rFonts w:ascii="Calibri" w:hAnsi="Calibri"/>
                <w:color w:val="1E293B"/>
                <w:sz w:val="18"/>
              </w:rPr>
              <w:t>100% Cryptographic Custody</w:t>
            </w:r>
          </w:p>
        </w:tc>
        <w:tc>
          <w:tcPr>
            <w:tcW w:type="dxa" w:w="2484"/>
            <w:shd w:fill="FFFFFF"/>
            <w:tcMar>
              <w:top w:w="80" w:type="dxa"/>
              <w:bottom w:w="80" w:type="dxa"/>
              <w:left w:w="120" w:type="dxa"/>
              <w:right w:w="120" w:type="dxa"/>
            </w:tcMar>
          </w:tcPr>
          <w:p>
            <w:r>
              <w:rPr>
                <w:rFonts w:ascii="Calibri" w:hAnsi="Calibri"/>
                <w:color w:val="1E293B"/>
                <w:sz w:val="18"/>
              </w:rPr>
              <w:t>Zero Lost Dongles</w:t>
            </w:r>
          </w:p>
        </w:tc>
      </w:tr>
      <w:tr>
        <w:tc>
          <w:tcPr>
            <w:tcW w:type="dxa" w:w="2484"/>
            <w:shd w:fill="F8FAFC"/>
            <w:tcMar>
              <w:top w:w="80" w:type="dxa"/>
              <w:bottom w:w="80" w:type="dxa"/>
              <w:left w:w="120" w:type="dxa"/>
              <w:right w:w="120" w:type="dxa"/>
            </w:tcMar>
          </w:tcPr>
          <w:p>
            <w:r>
              <w:rPr>
                <w:rFonts w:ascii="Calibri" w:hAnsi="Calibri"/>
                <w:color w:val="1E293B"/>
                <w:sz w:val="18"/>
              </w:rPr>
              <w:t>Hardware Trust Level</w:t>
            </w:r>
          </w:p>
        </w:tc>
        <w:tc>
          <w:tcPr>
            <w:tcW w:type="dxa" w:w="2484"/>
            <w:shd w:fill="F8FAFC"/>
            <w:tcMar>
              <w:top w:w="80" w:type="dxa"/>
              <w:bottom w:w="80" w:type="dxa"/>
              <w:left w:w="120" w:type="dxa"/>
              <w:right w:w="120" w:type="dxa"/>
            </w:tcMar>
          </w:tcPr>
          <w:p>
            <w:r>
              <w:rPr>
                <w:rFonts w:ascii="Calibri" w:hAnsi="Calibri"/>
                <w:color w:val="1E293B"/>
                <w:sz w:val="18"/>
              </w:rPr>
              <w:t>Unverified / Mixed</w:t>
            </w:r>
          </w:p>
        </w:tc>
        <w:tc>
          <w:tcPr>
            <w:tcW w:type="dxa" w:w="2484"/>
            <w:shd w:fill="F8FAFC"/>
            <w:tcMar>
              <w:top w:w="80" w:type="dxa"/>
              <w:bottom w:w="80" w:type="dxa"/>
              <w:left w:w="120" w:type="dxa"/>
              <w:right w:w="120" w:type="dxa"/>
            </w:tcMar>
          </w:tcPr>
          <w:p>
            <w:r>
              <w:rPr>
                <w:rFonts w:ascii="Calibri" w:hAnsi="Calibri"/>
                <w:color w:val="1E293B"/>
                <w:sz w:val="18"/>
              </w:rPr>
              <w:t>Zero-Trust Whitelisted</w:t>
            </w:r>
          </w:p>
        </w:tc>
        <w:tc>
          <w:tcPr>
            <w:tcW w:type="dxa" w:w="2484"/>
            <w:shd w:fill="F8FAFC"/>
            <w:tcMar>
              <w:top w:w="80" w:type="dxa"/>
              <w:bottom w:w="80" w:type="dxa"/>
              <w:left w:w="120" w:type="dxa"/>
              <w:right w:w="120" w:type="dxa"/>
            </w:tcMar>
          </w:tcPr>
          <w:p>
            <w:r>
              <w:rPr>
                <w:rFonts w:ascii="Calibri" w:hAnsi="Calibri"/>
                <w:color w:val="1E293B"/>
                <w:sz w:val="18"/>
              </w:rPr>
              <w:t>Complete SOC Parity</w:t>
            </w:r>
          </w:p>
        </w:tc>
      </w:tr>
    </w:tbl>
    <w:p>
      <w:pPr>
        <w:spacing w:after="80"/>
      </w:pPr>
    </w:p>
    <w:p>
      <w:r>
        <w:br w:type="page"/>
      </w:r>
    </w:p>
    <w:p>
      <w:pPr>
        <w:spacing w:before="0" w:after="120"/>
      </w:pPr>
      <w:r>
        <w:rPr>
          <w:rFonts w:ascii="Calibri" w:hAnsi="Calibri"/>
          <w:b/>
          <w:color w:val="0284C7"/>
          <w:sz w:val="40"/>
        </w:rPr>
        <w:t>Slide 4: Hardware Architecture &amp; IoT Simulator</w:t>
      </w:r>
    </w:p>
    <w:p>
      <w:pPr>
        <w:spacing w:before="60" w:after="80"/>
      </w:pPr>
      <w:r>
        <w:rPr>
          <w:rFonts w:ascii="Calibri" w:hAnsi="Calibri"/>
          <w:color w:val="1E293B"/>
          <w:sz w:val="20"/>
        </w:rPr>
        <w:t>KioskDrop Enterprise pairs enterprise web architecture with high-fidelity IoT physical locker simulation, engineered for immediate operational testing and straightforward real-world hardware integration.</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w:t>
              <w:br/>
              <w:t>│                                 12-BAY MODULAR SMART LOCKER BANK                                 │</w:t>
              <w:br/>
              <w:t>├──────────────────┬──────────────────┬──────────────────┬──────────────────┬──────────────────────┤</w:t>
              <w:br/>
              <w:t>│  [ BAY 1 ]  🟢   │  [ BAY 2 ]  🟢   │  [ BAY 3 ]  🟡   │  [ BAY 4 ]  🔵   │  TACTILE 10-KEY PAD  │</w:t>
              <w:br/>
              <w:t>│  USB-C to HDMI   │  USB-C to HDMI   │  RESERVED (OTP)  │  CHECKED OUT     │  ┌───┬───┬───┐       │</w:t>
              <w:br/>
              <w:t>│  Solenoid Locked │  Solenoid Locked │  Solenoid Armed  │  IR Beam Broken  │  │ 1 │ 2 │ 3 │       │</w:t>
              <w:br/>
              <w:t>├──────────────────┼──────────────────┼──────────────────┼──────────────────┤  ├───┼───┼───┤       │</w:t>
              <w:br/>
              <w:t>│  [ BAY 5 ]  🟢   │  [ BAY 6 ]  🟢   │  [ BAY 7 ]  🟢   │  [ BAY 8 ]  🔴   │  │ 4 │ 5 │ 6 │       │</w:t>
              <w:br/>
              <w:t>│  Surface Mini-DP │  Wireless Clicker│  Wireless Clicker│  SECURITY ALARM  │  ├───┼───┼───┤       │</w:t>
              <w:br/>
              <w:t>│  Continuous 5V/3A│  Continuous 5V/3A│  Continuous 5V/3A│  BadUSB Lockout  │  │ 7 │ 8 │ 9 │       │</w:t>
              <w:br/>
              <w:t>├──────────────────┼──────────────────┼──────────────────┼──────────────────┤  ├───┼───┼───┤       │</w:t>
              <w:br/>
              <w:t>│  [ BAY 9 ]  🟢   │  [ BAY 10 ] 🟢   │  [ BAY 11 ] 🟢   │  [ BAY 12 ] ⚪   │  │ C │ 0 │ E │       │</w:t>
              <w:br/>
              <w:t>│  4K HDMI 3M      │  4K HDMI 3M      │  USB-A 3.0 Hub   │  EMPTY BAY       │  └───┴───┴───┘       │</w:t>
              <w:br/>
              <w:t>│  Ready for Auth  │  Ready for Auth  │  Ready for Auth  │  Awaiting Stock  │  [RFID TAP SENSOR]   │</w:t>
              <w:br/>
              <w:t>└──────────────────┴──────────────────┴──────────────────┴──────────────────┴──────────────────────┘</w:t>
            </w:r>
          </w:p>
        </w:tc>
      </w:tr>
    </w:tbl>
    <w:p>
      <w:pPr>
        <w:spacing w:after="80"/>
      </w:pPr>
    </w:p>
    <w:p>
      <w:pPr>
        <w:spacing w:before="200" w:after="80"/>
      </w:pPr>
      <w:r>
        <w:rPr>
          <w:rFonts w:ascii="Calibri" w:hAnsi="Calibri"/>
          <w:b/>
          <w:color w:val="0F172A"/>
          <w:sz w:val="26"/>
        </w:rPr>
        <w:t>Physical Sensor &amp; Actuator Pipeline</w:t>
      </w:r>
    </w:p>
    <w:p>
      <w:pPr>
        <w:pStyle w:val="ListNumber"/>
        <w:spacing w:before="40" w:after="40"/>
      </w:pPr>
      <w:r>
        <w:rPr>
          <w:rFonts w:ascii="Calibri" w:hAnsi="Calibri"/>
          <w:color w:val="1E293B"/>
          <w:sz w:val="20"/>
        </w:rPr>
      </w:r>
      <w:r>
        <w:rPr>
          <w:rFonts w:ascii="Calibri" w:hAnsi="Calibri"/>
          <w:b/>
          <w:color w:val="1E293B"/>
          <w:sz w:val="20"/>
        </w:rPr>
        <w:t>Actuation:</w:t>
      </w:r>
      <w:r>
        <w:rPr>
          <w:rFonts w:ascii="Calibri" w:hAnsi="Calibri"/>
          <w:color w:val="1E293B"/>
          <w:sz w:val="20"/>
        </w:rPr>
        <w:t xml:space="preserve"> Dual 12V DC spring-loaded solenoid latches with optical limit feedback switches.</w:t>
      </w:r>
    </w:p>
    <w:p>
      <w:pPr>
        <w:pStyle w:val="ListNumber"/>
        <w:spacing w:before="40" w:after="40"/>
      </w:pPr>
      <w:r>
        <w:rPr>
          <w:rFonts w:ascii="Calibri" w:hAnsi="Calibri"/>
          <w:color w:val="1E293B"/>
          <w:sz w:val="20"/>
        </w:rPr>
      </w:r>
      <w:r>
        <w:rPr>
          <w:rFonts w:ascii="Calibri" w:hAnsi="Calibri"/>
          <w:b/>
          <w:color w:val="1E293B"/>
          <w:sz w:val="20"/>
        </w:rPr>
        <w:t>Break-Beam Sensor:</w:t>
      </w:r>
      <w:r>
        <w:rPr>
          <w:rFonts w:ascii="Calibri" w:hAnsi="Calibri"/>
          <w:color w:val="1E293B"/>
          <w:sz w:val="20"/>
        </w:rPr>
        <w:t xml:space="preserve"> Modulated infrared optoelectronic beam across the compartment detects asset removal instantly.</w:t>
      </w:r>
    </w:p>
    <w:p>
      <w:pPr>
        <w:pStyle w:val="ListNumber"/>
        <w:spacing w:before="40" w:after="40"/>
      </w:pPr>
      <w:r>
        <w:rPr>
          <w:rFonts w:ascii="Calibri" w:hAnsi="Calibri"/>
          <w:color w:val="1E293B"/>
          <w:sz w:val="20"/>
        </w:rPr>
      </w:r>
      <w:r>
        <w:rPr>
          <w:rFonts w:ascii="Calibri" w:hAnsi="Calibri"/>
          <w:b/>
          <w:color w:val="1E293B"/>
          <w:sz w:val="20"/>
        </w:rPr>
        <w:t>Electrical Handshake:</w:t>
      </w:r>
      <w:r>
        <w:rPr>
          <w:rFonts w:ascii="Calibri" w:hAnsi="Calibri"/>
          <w:color w:val="1E293B"/>
          <w:sz w:val="20"/>
        </w:rPr>
        <w:t xml:space="preserve"> USB-C Power Delivery (PD) probe verifies active 5V/3A power loop upon return.</w:t>
      </w:r>
    </w:p>
    <w:p>
      <w:pPr>
        <w:pStyle w:val="ListNumber"/>
        <w:spacing w:before="40" w:after="40"/>
      </w:pPr>
      <w:r>
        <w:rPr>
          <w:rFonts w:ascii="Calibri" w:hAnsi="Calibri"/>
          <w:color w:val="1E293B"/>
          <w:sz w:val="20"/>
        </w:rPr>
      </w:r>
      <w:r>
        <w:rPr>
          <w:rFonts w:ascii="Calibri" w:hAnsi="Calibri"/>
          <w:b/>
          <w:color w:val="1E293B"/>
          <w:sz w:val="20"/>
        </w:rPr>
        <w:t>Pure State Machines:</w:t>
      </w:r>
      <w:r>
        <w:rPr>
          <w:rFonts w:ascii="Calibri" w:hAnsi="Calibri"/>
          <w:color w:val="1E293B"/>
          <w:sz w:val="20"/>
        </w:rPr>
        <w:t xml:space="preserve"> Locker bays operate on strictly verified mathematical transitions:</w:t>
      </w:r>
    </w:p>
    <w:p>
      <w:pPr>
        <w:spacing w:before="60" w:after="80"/>
      </w:pPr>
      <w:r>
        <w:rPr>
          <w:rFonts w:ascii="Calibri" w:hAnsi="Calibri"/>
          <w:color w:val="1E293B"/>
          <w:sz w:val="20"/>
        </w:rPr>
        <w:t>$$\text{STOCKED\_AVAILABLE} \xrightarrow{\text{Reserve}} \text{RESERVED} \xrightarrow{\text{PIN}} \text{UNLOCKED} \xrightarrow{\text{IR Trip}} \text{CHECKED\_OUT} \xrightarrow{\text{Return}} \text{STOCKED\_AVAILABLE}$$</w:t>
      </w:r>
    </w:p>
    <w:p>
      <w:pPr>
        <w:spacing w:before="60" w:after="80"/>
      </w:pPr>
      <w:r>
        <w:rPr>
          <w:rFonts w:ascii="Calibri" w:hAnsi="Calibri"/>
          <w:color w:val="1E293B"/>
          <w:sz w:val="20"/>
        </w:rPr>
        <w:t>*Illegal transitions trigger explicit `InvalidTransitionError` exceptions.*</w:t>
      </w:r>
    </w:p>
    <w:p>
      <w:r>
        <w:br w:type="page"/>
      </w:r>
    </w:p>
    <w:p>
      <w:pPr>
        <w:spacing w:before="0" w:after="120"/>
      </w:pPr>
      <w:r>
        <w:rPr>
          <w:rFonts w:ascii="Calibri" w:hAnsi="Calibri"/>
          <w:b/>
          <w:color w:val="0284C7"/>
          <w:sz w:val="40"/>
        </w:rPr>
        <w:t>Slide 5: Zero-Trust Cybersecurity &amp; Asset Whitelist</w:t>
      </w:r>
    </w:p>
    <w:p>
      <w:pPr>
        <w:spacing w:before="60" w:after="80"/>
      </w:pPr>
      <w:r>
        <w:rPr>
          <w:rFonts w:ascii="Calibri" w:hAnsi="Calibri"/>
          <w:color w:val="1E293B"/>
          <w:sz w:val="20"/>
        </w:rPr>
        <w:t xml:space="preserve">In corporate environments, unmanaged USB peripherals represent a prime attack vector for </w:t>
      </w:r>
      <w:r>
        <w:rPr>
          <w:rFonts w:ascii="Calibri" w:hAnsi="Calibri"/>
          <w:b/>
          <w:color w:val="1E293B"/>
          <w:sz w:val="20"/>
        </w:rPr>
        <w:t>BadUSB keystroke injection, firmware reprogramming, and physical port damage.</w:t>
      </w:r>
      <w:r>
        <w:rPr>
          <w:rFonts w:ascii="Calibri" w:hAnsi="Calibri"/>
          <w:color w:val="1E293B"/>
          <w:sz w:val="20"/>
        </w:rPr>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 xml:space="preserve">       EMPLOYEE ATTEMPTS PERIPHERAL RETURN</w:t>
              <w:br/>
              <w:t xml:space="preserve">                       │</w:t>
              <w:br/>
              <w:t xml:space="preserve">                       ▼</w:t>
              <w:br/>
              <w:t xml:space="preserve">         ┌───────────────────────────┐</w:t>
              <w:br/>
              <w:t xml:space="preserve">         │ USB-C VID / PID Handshake │</w:t>
              <w:br/>
              <w:t xml:space="preserve">         └─────────────┬─────────────┘</w:t>
              <w:br/>
              <w:t xml:space="preserve">                       │</w:t>
              <w:br/>
              <w:t xml:space="preserve">         Is VID/PID in Whitelist Database?</w:t>
              <w:br/>
              <w:t xml:space="preserve">          /                         \</w:t>
              <w:br/>
              <w:t xml:space="preserve">       YES                           NO</w:t>
              <w:br/>
              <w:t xml:space="preserve">        │                             │</w:t>
              <w:br/>
              <w:t xml:space="preserve">        ▼                             ▼</w:t>
              <w:br/>
              <w:t>┌───────────────────────────────┐ ┌───────────────────────────────────────────────┐</w:t>
              <w:br/>
              <w:t>│ Genuine Whitelisted Hardware  │ │ SECURITY_MISMATCH_ALARM                       │</w:t>
              <w:br/>
              <w:t>├───────────────────────────────┤ ├───────────────────────────────────────────────┤</w:t>
              <w:br/>
              <w:t>│ • VID: 0x0BDA (Realtek)       │ │ • Detected Foreign / Counterfeit VID: 0x1337  │</w:t>
              <w:br/>
              <w:t>│ • PID: 0x8153                 │ │ • Solenoid physically deadlocks bay           │</w:t>
              <w:br/>
              <w:t>│ • Continuous 5V/3A charging   │ │ • Audible siren &amp; strobe indicator activates  │</w:t>
              <w:br/>
              <w:t>│ • Ticket marked CLOSED        │ │ • Real-time webhook dispatches incident to SOC│</w:t>
              <w:br/>
              <w:t>│ • Compartment resets to GREEN │ │ • High-priority ServiceNow P1 incident logged │</w:t>
              <w:br/>
              <w:t>└───────────────────────────────┘ └───────────────────────────────────────────────┘</w:t>
            </w:r>
          </w:p>
        </w:tc>
      </w:tr>
    </w:tbl>
    <w:p>
      <w:pPr>
        <w:spacing w:after="80"/>
      </w:pPr>
    </w:p>
    <w:p>
      <w:pPr>
        <w:spacing w:before="200" w:after="80"/>
      </w:pPr>
      <w:r>
        <w:rPr>
          <w:rFonts w:ascii="Calibri" w:hAnsi="Calibri"/>
          <w:b/>
          <w:color w:val="0F172A"/>
          <w:sz w:val="26"/>
        </w:rPr>
        <w:t>Cryptographic Tamper-Evident Ledger</w:t>
      </w:r>
    </w:p>
    <w:p>
      <w:pPr>
        <w:spacing w:before="60" w:after="80"/>
      </w:pPr>
      <w:r>
        <w:rPr>
          <w:rFonts w:ascii="Calibri" w:hAnsi="Calibri"/>
          <w:color w:val="1E293B"/>
          <w:sz w:val="20"/>
        </w:rPr>
        <w:t>Every single hardware interaction generates a cryptographically hashed custody entry linked in an immutable SHA-256 chain:</w:t>
      </w:r>
    </w:p>
    <w:p>
      <w:pPr>
        <w:spacing w:before="60" w:after="80"/>
      </w:pPr>
      <w:r>
        <w:rPr>
          <w:rFonts w:ascii="Calibri" w:hAnsi="Calibri"/>
          <w:color w:val="1E293B"/>
          <w:sz w:val="20"/>
        </w:rPr>
        <w:t>$$H_n = \text{SHA-256}(H_{n-1} \,\|\, \text{ticketId} \,\|\, \text{action} \,\|\, \text{actorId} \,\|\, \text{timestamp})$$</w:t>
      </w:r>
    </w:p>
    <w:p>
      <w:pPr>
        <w:pStyle w:val="ListBullet"/>
        <w:spacing w:before="40" w:after="40"/>
      </w:pPr>
      <w:r>
        <w:rPr>
          <w:rFonts w:ascii="Calibri" w:hAnsi="Calibri"/>
          <w:color w:val="1E293B"/>
          <w:sz w:val="20"/>
        </w:rPr>
      </w:r>
      <w:r>
        <w:rPr>
          <w:rFonts w:ascii="Calibri" w:hAnsi="Calibri"/>
          <w:b/>
          <w:color w:val="1E293B"/>
          <w:sz w:val="20"/>
        </w:rPr>
        <w:t>SOC Audit Compliance:</w:t>
      </w:r>
      <w:r>
        <w:rPr>
          <w:rFonts w:ascii="Calibri" w:hAnsi="Calibri"/>
          <w:color w:val="1E293B"/>
          <w:sz w:val="20"/>
        </w:rPr>
        <w:t xml:space="preserve"> Guarantees absolute non-repudiation for internal security and corporate governance audits.</w:t>
      </w:r>
    </w:p>
    <w:p>
      <w:r>
        <w:br w:type="page"/>
      </w:r>
    </w:p>
    <w:p>
      <w:pPr>
        <w:spacing w:before="0" w:after="120"/>
      </w:pPr>
      <w:r>
        <w:rPr>
          <w:rFonts w:ascii="Calibri" w:hAnsi="Calibri"/>
          <w:b/>
          <w:color w:val="0284C7"/>
          <w:sz w:val="40"/>
        </w:rPr>
        <w:t>Slide 6: Autonomous FinOps &amp; Statutory Duty Engine</w:t>
      </w:r>
    </w:p>
    <w:p>
      <w:pPr>
        <w:spacing w:before="60" w:after="80"/>
      </w:pPr>
      <w:r>
        <w:rPr>
          <w:rFonts w:ascii="Calibri" w:hAnsi="Calibri"/>
          <w:color w:val="1E293B"/>
          <w:sz w:val="20"/>
        </w:rPr>
        <w:t>Procuring, restocking, and replacing corporate AV hardware across global offices involves complicated cross-border taxation, statutory customs compliance, and tedious corporate card reconciliation.</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w:t>
              <w:br/>
              <w:t>│                            INDIAN CUSTOMS STATUTORY LANDED COST ENGINE                           │</w:t>
              <w:br/>
              <w:t>│              Strict Integer-Paise Arithmetic (Section 14, Customs Act &amp; CBIC Notif. 50/2017)     │</w:t>
              <w:br/>
              <w:t>├──────────────────────────────────────────┬───────────────────────────────────────────────────────┤</w:t>
              <w:br/>
              <w:t>│  CIF Invoice Value ($V_{\text{CIF}}$)    │  ₹10,000.00 (1,000,000 paise)                         │</w:t>
              <w:br/>
              <w:t>│  Assessable Value ($V_a = 1.01 \times V$)│  ₹10,100.00 (1,010,000 paise)                         │</w:t>
              <w:br/>
              <w:t>│  Basic Customs Duty (BCD @ 20%)          │  ₹2,020.00  (202,000 paise)                           │</w:t>
              <w:br/>
              <w:t>│  Social Welfare Surcharge (SWS @ 10%)    │  ₹202.00    (20,200 paise)                            │</w:t>
              <w:br/>
              <w:t>│  Integrated GST (IGST @ 18%)             │  ₹2,218.00  (221,800 paise)                           │</w:t>
              <w:br/>
              <w:t>├──────────────────────────────────────────┼───────────────────────────────────────────────────────┤</w:t>
              <w:br/>
              <w:t>│  TOTAL STATUTORY DUTIES PAYABLE          │  ₹4,440.00  (44.40% effective landed duty on CIF)     │</w:t>
              <w:br/>
              <w:t>│  TOTAL STATUTORY LANDED COST             │  ₹14,440.00 (1,444,000 paise)                         │</w:t>
              <w:br/>
              <w:t>└──────────────────────────────────────────┴───────────────────────────────────────────────────────┘</w:t>
            </w:r>
          </w:p>
        </w:tc>
      </w:tr>
    </w:tbl>
    <w:p>
      <w:pPr>
        <w:spacing w:after="80"/>
      </w:pPr>
    </w:p>
    <w:p>
      <w:pPr>
        <w:spacing w:before="200" w:after="80"/>
      </w:pPr>
      <w:r>
        <w:rPr>
          <w:rFonts w:ascii="Calibri" w:hAnsi="Calibri"/>
          <w:b/>
          <w:color w:val="0F172A"/>
          <w:sz w:val="26"/>
        </w:rPr>
        <w:t>FinOps Micro-Procurement Integrations</w:t>
      </w:r>
    </w:p>
    <w:p>
      <w:pPr>
        <w:pStyle w:val="ListBullet"/>
        <w:spacing w:before="40" w:after="40"/>
      </w:pPr>
      <w:r>
        <w:rPr>
          <w:rFonts w:ascii="Calibri" w:hAnsi="Calibri"/>
          <w:color w:val="1E293B"/>
          <w:sz w:val="20"/>
        </w:rPr>
      </w:r>
      <w:r>
        <w:rPr>
          <w:rFonts w:ascii="Calibri" w:hAnsi="Calibri"/>
          <w:b/>
          <w:color w:val="1E293B"/>
          <w:sz w:val="20"/>
        </w:rPr>
        <w:t>Prepaid Expense Card Ledger:</w:t>
      </w:r>
      <w:r>
        <w:rPr>
          <w:rFonts w:ascii="Calibri" w:hAnsi="Calibri"/>
          <w:color w:val="1E293B"/>
          <w:sz w:val="20"/>
        </w:rPr>
        <w:t xml:space="preserve"> Seamlessly tracks corporate virtual card balances (Zaggle, Happay) with automatic deduction upon restock dispatch.</w:t>
      </w:r>
    </w:p>
    <w:p>
      <w:pPr>
        <w:pStyle w:val="ListBullet"/>
        <w:spacing w:before="40" w:after="40"/>
      </w:pPr>
      <w:r>
        <w:rPr>
          <w:rFonts w:ascii="Calibri" w:hAnsi="Calibri"/>
          <w:color w:val="1E293B"/>
          <w:sz w:val="20"/>
        </w:rPr>
      </w:r>
      <w:r>
        <w:rPr>
          <w:rFonts w:ascii="Calibri" w:hAnsi="Calibri"/>
          <w:b/>
          <w:color w:val="1E293B"/>
          <w:sz w:val="20"/>
        </w:rPr>
        <w:t>Direct ERP Synchronization:</w:t>
      </w:r>
      <w:r>
        <w:rPr>
          <w:rFonts w:ascii="Calibri" w:hAnsi="Calibri"/>
          <w:color w:val="1E293B"/>
          <w:sz w:val="20"/>
        </w:rPr>
        <w:t xml:space="preserve"> Automatically structures and outputs Purchase Orders directly compatible with </w:t>
      </w:r>
      <w:r>
        <w:rPr>
          <w:rFonts w:ascii="Calibri" w:hAnsi="Calibri"/>
          <w:b/>
          <w:color w:val="1E293B"/>
          <w:sz w:val="20"/>
        </w:rPr>
        <w:t>SAP S/4HANA, Oracle NetSuite, and Zoho Books</w:t>
      </w:r>
      <w:r>
        <w:rPr>
          <w:rFonts w:ascii="Calibri" w:hAnsi="Calibri"/>
          <w:color w:val="1E293B"/>
          <w:sz w:val="20"/>
        </w:rPr>
        <w:t xml:space="preserve"> with correct HSN classifications (`85437099`, `85182210`, `85285900`).</w:t>
      </w:r>
    </w:p>
    <w:p>
      <w:r>
        <w:br w:type="page"/>
      </w:r>
    </w:p>
    <w:p>
      <w:pPr>
        <w:spacing w:before="0" w:after="120"/>
      </w:pPr>
      <w:r>
        <w:rPr>
          <w:rFonts w:ascii="Calibri" w:hAnsi="Calibri"/>
          <w:b/>
          <w:color w:val="0284C7"/>
          <w:sz w:val="40"/>
        </w:rPr>
        <w:t>Slide 7: Consumption Anomaly Heuristic &amp; Telemetry</w:t>
      </w:r>
    </w:p>
    <w:p>
      <w:pPr>
        <w:spacing w:before="60" w:after="80"/>
      </w:pPr>
      <w:r>
        <w:rPr>
          <w:rFonts w:ascii="Calibri" w:hAnsi="Calibri"/>
          <w:color w:val="1E293B"/>
          <w:sz w:val="20"/>
        </w:rPr>
        <w:t>KioskDrop Enterprise includes an automated, predictive anomaly engine that identifies peripheral shrinkage, equipment misuse, and recurring meeting room display defects.</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w:t>
              <w:br/>
              <w:t>│                        TOWER CONSUMPTION ANOMALY DETECTION HEURISTIC                             │</w:t>
              <w:br/>
              <w:t>├──────────────────────────────────────────────────────────────────────────────────────────────────┤</w:t>
              <w:br/>
              <w:t>│  HEURISTIC RULE:                                                                                 │</w:t>
              <w:br/>
              <w:t>│  Trigger Warning Alert IF Room Checkouts - Returns &gt;= 4 within rolling 10-day window.             │</w:t>
              <w:br/>
              <w:t>├──────────────────────────────────────────────────────────────────────────────────────────────────┤</w:t>
              <w:br/>
              <w:t>│  CURRENT FLEET STATUS:                                                                           │</w:t>
              <w:br/>
              <w:t>│  🚨 Boardroom-4B (Floor 4) : 4 Unreturned Checkouts / 10 Days  ---&gt; [FLAGGED: HIGH ANOMALY]      │</w:t>
              <w:br/>
              <w:t>│  ✅ Boardroom-2A (Floor 2) : 3 Unreturned Checkouts / 10 Days  ---&gt; [NORMAL]                     │</w:t>
              <w:br/>
              <w:t>│  ✅ Conference-3C (Floor 3): 4 Checkouts across 16 Days        ---&gt; [NORMAL: Velocity &lt; Rate]    │</w:t>
              <w:br/>
              <w:t>└──────────────────────────────────────────────────────────────────────────────────────────────────┘</w:t>
            </w:r>
          </w:p>
        </w:tc>
      </w:tr>
    </w:tbl>
    <w:p>
      <w:pPr>
        <w:spacing w:after="80"/>
      </w:pP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graph LR</w:t>
              <w:br/>
              <w:t xml:space="preserve">    subgraph "Live Building Telemetry"</w:t>
              <w:br/>
              <w:t xml:space="preserve">        F4[Floor 4 Locker Bank&lt;br/&gt;12 Compartments&lt;br/&gt;Occ: 83% • Anomaly Alert]</w:t>
              <w:br/>
              <w:t xml:space="preserve">        F2[Floor 2 Locker Bank&lt;br/&gt;12 Compartments&lt;br/&gt;Occ: 58% • Nominal]</w:t>
              <w:br/>
              <w:t xml:space="preserve">        F1[Floor 1 Locker Bank&lt;br/&gt;12 Compartments&lt;br/&gt;Occ: 42% • Nominal]</w:t>
              <w:br/>
              <w:t xml:space="preserve">    end</w:t>
              <w:br/>
              <w:br/>
              <w:t xml:space="preserve">    F4 --&gt;|Real-Time SSE Event Bus| Dash[Admin Command Center]</w:t>
              <w:br/>
              <w:t xml:space="preserve">    F2 --&gt;|Real-Time SSE Event Bus| Dash</w:t>
              <w:br/>
              <w:t xml:space="preserve">    F1 --&gt;|Real-Time SSE Event Bus| Dash</w:t>
              <w:br/>
              <w:t xml:space="preserve">    Dash --&gt;|Webhook Trigger| SN[ServiceNow Facility Dispatch]</w:t>
            </w:r>
          </w:p>
        </w:tc>
      </w:tr>
    </w:tbl>
    <w:p>
      <w:pPr>
        <w:spacing w:after="80"/>
      </w:pPr>
    </w:p>
    <w:p>
      <w:pPr>
        <w:pStyle w:val="ListBullet"/>
        <w:spacing w:before="40" w:after="40"/>
      </w:pPr>
      <w:r>
        <w:rPr>
          <w:rFonts w:ascii="Calibri" w:hAnsi="Calibri"/>
          <w:color w:val="1E293B"/>
          <w:sz w:val="20"/>
        </w:rPr>
      </w:r>
      <w:r>
        <w:rPr>
          <w:rFonts w:ascii="Calibri" w:hAnsi="Calibri"/>
          <w:b/>
          <w:color w:val="1E293B"/>
          <w:sz w:val="20"/>
        </w:rPr>
        <w:t>Immediate Root-Cause Insight:</w:t>
      </w:r>
      <w:r>
        <w:rPr>
          <w:rFonts w:ascii="Calibri" w:hAnsi="Calibri"/>
          <w:color w:val="1E293B"/>
          <w:sz w:val="20"/>
        </w:rPr>
        <w:t xml:space="preserve"> Flagged rooms immediately alert facility managers to inspect faulty wall plates or schedule targeted asset recovery sweeps.</w:t>
      </w:r>
    </w:p>
    <w:p>
      <w:r>
        <w:br w:type="page"/>
      </w:r>
    </w:p>
    <w:p>
      <w:pPr>
        <w:spacing w:before="0" w:after="120"/>
      </w:pPr>
      <w:r>
        <w:rPr>
          <w:rFonts w:ascii="Calibri" w:hAnsi="Calibri"/>
          <w:b/>
          <w:color w:val="0284C7"/>
          <w:sz w:val="40"/>
        </w:rPr>
        <w:t>Slide 8: Total Addressable Market (TAM) &amp; Tailwinds</w:t>
      </w:r>
    </w:p>
    <w:p>
      <w:pPr>
        <w:spacing w:before="60" w:after="80"/>
      </w:pPr>
      <w:r>
        <w:rPr>
          <w:rFonts w:ascii="Calibri" w:hAnsi="Calibri"/>
          <w:color w:val="1E293B"/>
          <w:sz w:val="20"/>
        </w:rPr>
        <w:t>The convergence of hybrid work models, executive conference room expansion, and strict enterprise cybersecurity demands is accelerating smart office logistics.</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 xml:space="preserve">                   GLOBAL MARKET SIZING (USD)</w:t>
              <w:br/>
              <w:t xml:space="preserve">  ┌────────────────────────────────────────────────────────┐</w:t>
              <w:br/>
              <w:t xml:space="preserve">  │  TAM: $48.2 Billion                                    │</w:t>
              <w:br/>
              <w:t xml:space="preserve">  │  Global Smart Office &amp; Commercial AV Management (2028) │</w:t>
              <w:br/>
              <w:t xml:space="preserve">  │  ┌──────────────────────────────────────────────┐      │</w:t>
              <w:br/>
              <w:t xml:space="preserve">  │  │  SAM: $12.4 Billion                          │      │</w:t>
              <w:br/>
              <w:t xml:space="preserve">  │  │  Enterprise GCCs, Tech Parks &amp; Top 10K Corps│      │</w:t>
              <w:br/>
              <w:t xml:space="preserve">  │  │  ┌────────────────────────────────────┐       │      │</w:t>
              <w:br/>
              <w:t xml:space="preserve">  │  │  │  SOM: $1.8 Billion                 │       │      │</w:t>
              <w:br/>
              <w:t xml:space="preserve">  │  │  │  Top 2,500 Enterprise Campuses     │       │      │</w:t>
              <w:br/>
              <w:t xml:space="preserve">  │  │  └────────────────────────────────────┘       │      │</w:t>
              <w:br/>
              <w:t xml:space="preserve">  │  └──────────────────────────────────────────────┘      │</w:t>
              <w:br/>
              <w:t xml:space="preserve">  └────────────────────────────────────────────────────────┘</w:t>
            </w:r>
          </w:p>
        </w:tc>
      </w:tr>
    </w:tbl>
    <w:p>
      <w:pPr>
        <w:spacing w:after="80"/>
      </w:pPr>
    </w:p>
    <w:p>
      <w:pPr>
        <w:spacing w:before="200" w:after="80"/>
      </w:pPr>
      <w:r>
        <w:rPr>
          <w:rFonts w:ascii="Calibri" w:hAnsi="Calibri"/>
          <w:b/>
          <w:color w:val="0F172A"/>
          <w:sz w:val="26"/>
        </w:rPr>
        <w:t>Market Tailwinds</w:t>
      </w:r>
    </w:p>
    <w:p>
      <w:pPr>
        <w:pStyle w:val="ListNumber"/>
        <w:spacing w:before="40" w:after="40"/>
      </w:pPr>
      <w:r>
        <w:rPr>
          <w:rFonts w:ascii="Calibri" w:hAnsi="Calibri"/>
          <w:color w:val="1E293B"/>
          <w:sz w:val="20"/>
        </w:rPr>
      </w:r>
      <w:r>
        <w:rPr>
          <w:rFonts w:ascii="Calibri" w:hAnsi="Calibri"/>
          <w:b/>
          <w:color w:val="1E293B"/>
          <w:sz w:val="20"/>
        </w:rPr>
        <w:t>The GCC Boom in APAC:</w:t>
      </w:r>
      <w:r>
        <w:rPr>
          <w:rFonts w:ascii="Calibri" w:hAnsi="Calibri"/>
          <w:color w:val="1E293B"/>
          <w:sz w:val="20"/>
        </w:rPr>
        <w:t xml:space="preserve"> India alone hosts over 1,600 Global Capability Centers (GCCs) employing over 1.9 million white-collar professionals, adding millions of sq. ft. of smart boardroom space annually.</w:t>
      </w:r>
    </w:p>
    <w:p>
      <w:pPr>
        <w:pStyle w:val="ListNumber"/>
        <w:spacing w:before="40" w:after="40"/>
      </w:pPr>
      <w:r>
        <w:rPr>
          <w:rFonts w:ascii="Calibri" w:hAnsi="Calibri"/>
          <w:color w:val="1E293B"/>
          <w:sz w:val="20"/>
        </w:rPr>
      </w:r>
      <w:r>
        <w:rPr>
          <w:rFonts w:ascii="Calibri" w:hAnsi="Calibri"/>
          <w:b/>
          <w:color w:val="1E293B"/>
          <w:sz w:val="20"/>
        </w:rPr>
        <w:t>Hybrid Video-Conferencing Density:</w:t>
      </w:r>
      <w:r>
        <w:rPr>
          <w:rFonts w:ascii="Calibri" w:hAnsi="Calibri"/>
          <w:color w:val="1E293B"/>
          <w:sz w:val="20"/>
        </w:rPr>
        <w:t xml:space="preserve"> Every meeting room is now a video-conferencing studio (Microsoft Teams Rooms, Zoom Rooms), multiplying device connection failure points by $4\times$.</w:t>
      </w:r>
    </w:p>
    <w:p>
      <w:pPr>
        <w:pStyle w:val="ListNumber"/>
        <w:spacing w:before="40" w:after="40"/>
      </w:pPr>
      <w:r>
        <w:rPr>
          <w:rFonts w:ascii="Calibri" w:hAnsi="Calibri"/>
          <w:color w:val="1E293B"/>
          <w:sz w:val="20"/>
        </w:rPr>
      </w:r>
      <w:r>
        <w:rPr>
          <w:rFonts w:ascii="Calibri" w:hAnsi="Calibri"/>
          <w:b/>
          <w:color w:val="1E293B"/>
          <w:sz w:val="20"/>
        </w:rPr>
        <w:t>CISO Zero-Trust Directives:</w:t>
      </w:r>
      <w:r>
        <w:rPr>
          <w:rFonts w:ascii="Calibri" w:hAnsi="Calibri"/>
          <w:color w:val="1E293B"/>
          <w:sz w:val="20"/>
        </w:rPr>
        <w:t xml:space="preserve"> Bring-Your-Own-Device (BYOD) policies require strict hardware vetting to protect corporate LANs from unauthorized physical connections.</w:t>
      </w:r>
    </w:p>
    <w:p>
      <w:r>
        <w:br w:type="page"/>
      </w:r>
    </w:p>
    <w:p>
      <w:pPr>
        <w:spacing w:before="0" w:after="120"/>
      </w:pPr>
      <w:r>
        <w:rPr>
          <w:rFonts w:ascii="Calibri" w:hAnsi="Calibri"/>
          <w:b/>
          <w:color w:val="0284C7"/>
          <w:sz w:val="40"/>
        </w:rPr>
        <w:t>Slide 9: Business Model &amp; Monetization Engine</w:t>
      </w:r>
    </w:p>
    <w:p>
      <w:pPr>
        <w:spacing w:before="60" w:after="80"/>
      </w:pPr>
      <w:r>
        <w:rPr>
          <w:rFonts w:ascii="Calibri" w:hAnsi="Calibri"/>
          <w:color w:val="1E293B"/>
          <w:sz w:val="20"/>
        </w:rPr>
        <w:t xml:space="preserve">KioskDrop Enterprise deploys a dual </w:t>
      </w:r>
      <w:r>
        <w:rPr>
          <w:rFonts w:ascii="Calibri" w:hAnsi="Calibri"/>
          <w:b/>
          <w:color w:val="1E293B"/>
          <w:sz w:val="20"/>
        </w:rPr>
        <w:t>Hardware-as-a-Service (HaaS)</w:t>
      </w:r>
      <w:r>
        <w:rPr>
          <w:rFonts w:ascii="Calibri" w:hAnsi="Calibri"/>
          <w:color w:val="1E293B"/>
          <w:sz w:val="20"/>
        </w:rPr>
        <w:t xml:space="preserve"> and </w:t>
      </w:r>
      <w:r>
        <w:rPr>
          <w:rFonts w:ascii="Calibri" w:hAnsi="Calibri"/>
          <w:b/>
          <w:color w:val="1E293B"/>
          <w:sz w:val="20"/>
        </w:rPr>
        <w:t>High-Margin Enterprise SaaS</w:t>
      </w:r>
      <w:r>
        <w:rPr>
          <w:rFonts w:ascii="Calibri" w:hAnsi="Calibri"/>
          <w:color w:val="1E293B"/>
          <w:sz w:val="20"/>
        </w:rPr>
        <w:t xml:space="preserve"> model with sticky recurring expansion revenue.</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 xml:space="preserve">                                  REVENUE STREAMS</w:t>
              <w:br/>
              <w:t xml:space="preserve">                                         │</w:t>
              <w:br/>
              <w:t xml:space="preserve">        ┌────────────────────────────────┼────────────────────────────────┐</w:t>
              <w:br/>
              <w:t xml:space="preserve">        ▼                                ▼                                ▼</w:t>
              <w:br/>
              <w:t>┌──────────────────────────┐   ┌──────────────────────────┐   ┌──────────────────────────┐</w:t>
              <w:br/>
              <w:t>│   1. Hardware (HaaS)     │   │  2. Cloud Platform SaaS  │   │  3. Consumable Restock   │</w:t>
              <w:br/>
              <w:t>├──────────────────────────┤   ├──────────────────────────┤   ├──────────────────────────┤</w:t>
              <w:br/>
              <w:t>│ $450 / Locker / Month    │   │ $20 / Bay / Month        │   │ 22% Margin Take-Rate     │</w:t>
              <w:br/>
              <w:t>│ • 12-Bay modular unit    │   │ • Real-time telemetry bus│   │ • Automated ERP PO flow  │</w:t>
              <w:br/>
              <w:t>│ • Maintenance &amp; warranty │   │ • Zero-trust whitelist   │   │ • Whitelisted bulk       │</w:t>
              <w:br/>
              <w:t>│ • 36-Month contract term │   │ • FinOps ERP connectors  │   │   certified peripherals  │</w:t>
              <w:br/>
              <w:t>└──────────────────────────┘   └──────────────────────────┘   └──────────────────────────┘</w:t>
            </w:r>
          </w:p>
        </w:tc>
      </w:tr>
    </w:tbl>
    <w:p>
      <w:pPr>
        <w:spacing w:after="80"/>
      </w:pPr>
    </w:p>
    <w:p>
      <w:pPr>
        <w:spacing w:before="200" w:after="80"/>
      </w:pPr>
      <w:r>
        <w:rPr>
          <w:rFonts w:ascii="Calibri" w:hAnsi="Calibri"/>
          <w:b/>
          <w:color w:val="0F172A"/>
          <w:sz w:val="26"/>
        </w:rPr>
        <w:t>Enterprise Unit Economics (Single 4-Locker Corporate Campus)</w:t>
      </w:r>
    </w:p>
    <w:p>
      <w:pPr>
        <w:pStyle w:val="ListBullet"/>
        <w:spacing w:before="40" w:after="40"/>
      </w:pPr>
      <w:r>
        <w:rPr>
          <w:rFonts w:ascii="Calibri" w:hAnsi="Calibri"/>
          <w:color w:val="1E293B"/>
          <w:sz w:val="20"/>
        </w:rPr>
      </w:r>
      <w:r>
        <w:rPr>
          <w:rFonts w:ascii="Calibri" w:hAnsi="Calibri"/>
          <w:b/>
          <w:color w:val="1E293B"/>
          <w:sz w:val="20"/>
        </w:rPr>
        <w:t>Annual Recurring Revenue (ARR) per Campus:</w:t>
      </w:r>
      <w:r>
        <w:rPr>
          <w:rFonts w:ascii="Calibri" w:hAnsi="Calibri"/>
          <w:color w:val="1E293B"/>
          <w:sz w:val="20"/>
        </w:rPr>
      </w:r>
    </w:p>
    <w:p>
      <w:pPr>
        <w:pStyle w:val="ListBullet"/>
        <w:spacing w:before="40" w:after="40"/>
      </w:pPr>
      <w:r>
        <w:rPr>
          <w:rFonts w:ascii="Calibri" w:hAnsi="Calibri"/>
          <w:color w:val="1E293B"/>
          <w:sz w:val="20"/>
        </w:rPr>
        <w:t>Hardware Lease: $4 \text{ lockers} \times \$450 \times 12 \text{ mo} = \mathbf{\$21,600}$</w:t>
      </w:r>
    </w:p>
    <w:p>
      <w:pPr>
        <w:pStyle w:val="ListBullet"/>
        <w:spacing w:before="40" w:after="40"/>
      </w:pPr>
      <w:r>
        <w:rPr>
          <w:rFonts w:ascii="Calibri" w:hAnsi="Calibri"/>
          <w:color w:val="1E293B"/>
          <w:sz w:val="20"/>
        </w:rPr>
        <w:t>Software Platform: $48 \text{ bays} \times \$20 \times 12 \text{ mo} = \mathbf{\$11,520}$</w:t>
      </w:r>
    </w:p>
    <w:p>
      <w:pPr>
        <w:pStyle w:val="ListBullet"/>
        <w:spacing w:before="40" w:after="40"/>
      </w:pPr>
      <w:r>
        <w:rPr>
          <w:rFonts w:ascii="Calibri" w:hAnsi="Calibri"/>
          <w:color w:val="1E293B"/>
          <w:sz w:val="20"/>
        </w:rPr>
        <w:t>Peripheral Restock GMV ($15,000 @ 22%): $\mathbf{\$3,300}$</w:t>
      </w:r>
    </w:p>
    <w:p>
      <w:pPr>
        <w:pStyle w:val="ListBullet"/>
        <w:spacing w:before="40" w:after="40"/>
      </w:pPr>
      <w:r>
        <w:rPr>
          <w:rFonts w:ascii="Calibri" w:hAnsi="Calibri"/>
          <w:color w:val="1E293B"/>
          <w:sz w:val="20"/>
        </w:rPr>
      </w:r>
      <w:r>
        <w:rPr>
          <w:rFonts w:ascii="Calibri" w:hAnsi="Calibri"/>
          <w:b/>
          <w:color w:val="1E293B"/>
          <w:sz w:val="20"/>
        </w:rPr>
        <w:t>Total Campus ARR:</w:t>
      </w:r>
      <w:r>
        <w:rPr>
          <w:rFonts w:ascii="Calibri" w:hAnsi="Calibri"/>
          <w:color w:val="1E293B"/>
          <w:sz w:val="20"/>
        </w:rPr>
        <w:t xml:space="preserve"> $\mathbf{\$36,420}$</w:t>
      </w:r>
    </w:p>
    <w:p>
      <w:pPr>
        <w:pStyle w:val="ListBullet"/>
        <w:spacing w:before="40" w:after="40"/>
      </w:pPr>
      <w:r>
        <w:rPr>
          <w:rFonts w:ascii="Calibri" w:hAnsi="Calibri"/>
          <w:color w:val="1E293B"/>
          <w:sz w:val="20"/>
        </w:rPr>
      </w:r>
      <w:r>
        <w:rPr>
          <w:rFonts w:ascii="Calibri" w:hAnsi="Calibri"/>
          <w:b/>
          <w:color w:val="1E293B"/>
          <w:sz w:val="20"/>
        </w:rPr>
        <w:t>Gross Margins:</w:t>
      </w:r>
      <w:r>
        <w:rPr>
          <w:rFonts w:ascii="Calibri" w:hAnsi="Calibri"/>
          <w:color w:val="1E293B"/>
          <w:sz w:val="20"/>
        </w:rPr>
      </w:r>
    </w:p>
    <w:p>
      <w:pPr>
        <w:pStyle w:val="ListBullet"/>
        <w:spacing w:before="40" w:after="40"/>
      </w:pPr>
      <w:r>
        <w:rPr>
          <w:rFonts w:ascii="Calibri" w:hAnsi="Calibri"/>
          <w:color w:val="1E293B"/>
          <w:sz w:val="20"/>
        </w:rPr>
        <w:t xml:space="preserve">Software SaaS: </w:t>
      </w:r>
      <w:r>
        <w:rPr>
          <w:rFonts w:ascii="Calibri" w:hAnsi="Calibri"/>
          <w:b/>
          <w:color w:val="1E293B"/>
          <w:sz w:val="20"/>
        </w:rPr>
        <w:t>88%</w:t>
      </w:r>
      <w:r>
        <w:rPr>
          <w:rFonts w:ascii="Calibri" w:hAnsi="Calibri"/>
          <w:color w:val="1E293B"/>
          <w:sz w:val="20"/>
        </w:rPr>
      </w:r>
    </w:p>
    <w:p>
      <w:pPr>
        <w:pStyle w:val="ListBullet"/>
        <w:spacing w:before="40" w:after="40"/>
      </w:pPr>
      <w:r>
        <w:rPr>
          <w:rFonts w:ascii="Calibri" w:hAnsi="Calibri"/>
          <w:color w:val="1E293B"/>
          <w:sz w:val="20"/>
        </w:rPr>
        <w:t xml:space="preserve">Hardware Lease: </w:t>
      </w:r>
      <w:r>
        <w:rPr>
          <w:rFonts w:ascii="Calibri" w:hAnsi="Calibri"/>
          <w:b/>
          <w:color w:val="1E293B"/>
          <w:sz w:val="20"/>
        </w:rPr>
        <w:t>58%</w:t>
      </w:r>
      <w:r>
        <w:rPr>
          <w:rFonts w:ascii="Calibri" w:hAnsi="Calibri"/>
          <w:color w:val="1E293B"/>
          <w:sz w:val="20"/>
        </w:rPr>
      </w:r>
    </w:p>
    <w:p>
      <w:pPr>
        <w:pStyle w:val="ListBullet"/>
        <w:spacing w:before="40" w:after="40"/>
      </w:pPr>
      <w:r>
        <w:rPr>
          <w:rFonts w:ascii="Calibri" w:hAnsi="Calibri"/>
          <w:color w:val="1E293B"/>
          <w:sz w:val="20"/>
        </w:rPr>
        <w:t xml:space="preserve">Consumable Restocking: </w:t>
      </w:r>
      <w:r>
        <w:rPr>
          <w:rFonts w:ascii="Calibri" w:hAnsi="Calibri"/>
          <w:b/>
          <w:color w:val="1E293B"/>
          <w:sz w:val="20"/>
        </w:rPr>
        <w:t>22%</w:t>
      </w:r>
      <w:r>
        <w:rPr>
          <w:rFonts w:ascii="Calibri" w:hAnsi="Calibri"/>
          <w:color w:val="1E293B"/>
          <w:sz w:val="20"/>
        </w:rPr>
      </w:r>
    </w:p>
    <w:p>
      <w:pPr>
        <w:pStyle w:val="ListBullet"/>
        <w:spacing w:before="40" w:after="40"/>
      </w:pPr>
      <w:r>
        <w:rPr>
          <w:rFonts w:ascii="Calibri" w:hAnsi="Calibri"/>
          <w:color w:val="1E293B"/>
          <w:sz w:val="20"/>
        </w:rPr>
      </w:r>
      <w:r>
        <w:rPr>
          <w:rFonts w:ascii="Calibri" w:hAnsi="Calibri"/>
          <w:b/>
          <w:color w:val="1E293B"/>
          <w:sz w:val="20"/>
        </w:rPr>
        <w:t>Blended Campus Gross Margin: ~64.2%</w:t>
      </w:r>
      <w:r>
        <w:rPr>
          <w:rFonts w:ascii="Calibri" w:hAnsi="Calibri"/>
          <w:color w:val="1E293B"/>
          <w:sz w:val="20"/>
        </w:rPr>
      </w:r>
    </w:p>
    <w:p>
      <w:pPr>
        <w:pStyle w:val="ListBullet"/>
        <w:spacing w:before="40" w:after="40"/>
      </w:pPr>
      <w:r>
        <w:rPr>
          <w:rFonts w:ascii="Calibri" w:hAnsi="Calibri"/>
          <w:color w:val="1E293B"/>
          <w:sz w:val="20"/>
        </w:rPr>
      </w:r>
      <w:r>
        <w:rPr>
          <w:rFonts w:ascii="Calibri" w:hAnsi="Calibri"/>
          <w:b/>
          <w:color w:val="1E293B"/>
          <w:sz w:val="20"/>
        </w:rPr>
        <w:t>LTV / CAC Ratio:</w:t>
      </w:r>
      <w:r>
        <w:rPr>
          <w:rFonts w:ascii="Calibri" w:hAnsi="Calibri"/>
          <w:color w:val="1E293B"/>
          <w:sz w:val="20"/>
        </w:rPr>
        <w:t xml:space="preserve"> Estimated </w:t>
      </w:r>
      <w:r>
        <w:rPr>
          <w:rFonts w:ascii="Calibri" w:hAnsi="Calibri"/>
          <w:b/>
          <w:color w:val="1E293B"/>
          <w:sz w:val="20"/>
        </w:rPr>
        <w:t>5.4x</w:t>
      </w:r>
      <w:r>
        <w:rPr>
          <w:rFonts w:ascii="Calibri" w:hAnsi="Calibri"/>
          <w:color w:val="1E293B"/>
          <w:sz w:val="20"/>
        </w:rPr>
        <w:t xml:space="preserve"> with a payback period under </w:t>
      </w:r>
      <w:r>
        <w:rPr>
          <w:rFonts w:ascii="Calibri" w:hAnsi="Calibri"/>
          <w:b/>
          <w:color w:val="1E293B"/>
          <w:sz w:val="20"/>
        </w:rPr>
        <w:t>6.5 months</w:t>
      </w:r>
      <w:r>
        <w:rPr>
          <w:rFonts w:ascii="Calibri" w:hAnsi="Calibri"/>
          <w:color w:val="1E293B"/>
          <w:sz w:val="20"/>
        </w:rPr>
        <w:t>.</w:t>
      </w:r>
    </w:p>
    <w:p>
      <w:r>
        <w:br w:type="page"/>
      </w:r>
    </w:p>
    <w:p>
      <w:pPr>
        <w:spacing w:before="0" w:after="120"/>
      </w:pPr>
      <w:r>
        <w:rPr>
          <w:rFonts w:ascii="Calibri" w:hAnsi="Calibri"/>
          <w:b/>
          <w:color w:val="0284C7"/>
          <w:sz w:val="40"/>
        </w:rPr>
        <w:t>Slide 10: Competitive Moat &amp; Landscape</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 xml:space="preserve">                        COMPETITIVE POSITIONING MATRIX</w:t>
              <w:br/>
              <w:t xml:space="preserve">            High</w:t>
              <w:br/>
              <w:t xml:space="preserve">             ▲</w:t>
              <w:br/>
              <w:t xml:space="preserve">             │                                              ★ KIOSKDROP ENTERPRISE</w:t>
              <w:br/>
              <w:t xml:space="preserve">             │                                                (Sub-60s Triage,</w:t>
              <w:br/>
              <w:t xml:space="preserve">             │                                                 Zero-Trust Whitelist,</w:t>
              <w:br/>
              <w:t xml:space="preserve">             │                                                 FinOps Automated ERP)</w:t>
              <w:br/>
              <w:t xml:space="preserve">             │</w:t>
              <w:br/>
              <w:t xml:space="preserve">   Specialized│</w:t>
              <w:br/>
              <w:t xml:space="preserve">   Meeting AV│</w:t>
              <w:br/>
              <w:t xml:space="preserve">   Logistics │</w:t>
              <w:br/>
              <w:t xml:space="preserve">             │</w:t>
              <w:br/>
              <w:t xml:space="preserve">             │           Manual IT Helpdesk</w:t>
              <w:br/>
              <w:t xml:space="preserve">             │           (15-30 min wait,</w:t>
              <w:br/>
              <w:t xml:space="preserve">             │            ticket overhead)</w:t>
              <w:br/>
              <w:t xml:space="preserve">             │</w:t>
              <w:br/>
              <w:t xml:space="preserve">             │                                   Generic Industrial Vending</w:t>
              <w:br/>
              <w:t xml:space="preserve">             │                                   (Fastenal, Apex Lockers)</w:t>
              <w:br/>
              <w:t xml:space="preserve">             │                                   (No AV triage, no BadUSB</w:t>
              <w:br/>
              <w:t xml:space="preserve">             │                                    detection, no FinOps sync)</w:t>
              <w:br/>
              <w:t xml:space="preserve">             │</w:t>
              <w:br/>
              <w:t xml:space="preserve">             ▼</w:t>
              <w:br/>
              <w:t xml:space="preserve">            Low ─────────────────────────────────────────────────────────────► High</w:t>
              <w:br/>
              <w:t xml:space="preserve">                                  Automation &amp; Integration Depth</w:t>
            </w:r>
          </w:p>
        </w:tc>
      </w:tr>
    </w:tbl>
    <w:p>
      <w:pPr>
        <w:spacing w:after="80"/>
      </w:pPr>
    </w:p>
    <w:p>
      <w:pPr>
        <w:spacing w:before="200" w:after="80"/>
      </w:pPr>
      <w:r>
        <w:rPr>
          <w:rFonts w:ascii="Calibri" w:hAnsi="Calibri"/>
          <w:b/>
          <w:color w:val="0F172A"/>
          <w:sz w:val="26"/>
        </w:rPr>
        <w:t>Our Defensive Moats</w:t>
      </w:r>
    </w:p>
    <w:p>
      <w:pPr>
        <w:pStyle w:val="ListNumber"/>
        <w:spacing w:before="40" w:after="40"/>
      </w:pPr>
      <w:r>
        <w:rPr>
          <w:rFonts w:ascii="Calibri" w:hAnsi="Calibri"/>
          <w:color w:val="1E293B"/>
          <w:sz w:val="20"/>
        </w:rPr>
      </w:r>
      <w:r>
        <w:rPr>
          <w:rFonts w:ascii="Calibri" w:hAnsi="Calibri"/>
          <w:b/>
          <w:color w:val="1E293B"/>
          <w:sz w:val="20"/>
        </w:rPr>
        <w:t>Proprietary Triage Decision Engine:</w:t>
      </w:r>
      <w:r>
        <w:rPr>
          <w:rFonts w:ascii="Calibri" w:hAnsi="Calibri"/>
          <w:color w:val="1E293B"/>
          <w:sz w:val="20"/>
        </w:rPr>
        <w:t xml:space="preserve"> Context-aware mapping of room display configurations (4K LED Wall, HDMI Projector, Dual Monitor) to exact hardware compatibility requirements.</w:t>
      </w:r>
    </w:p>
    <w:p>
      <w:pPr>
        <w:pStyle w:val="ListNumber"/>
        <w:spacing w:before="40" w:after="40"/>
      </w:pPr>
      <w:r>
        <w:rPr>
          <w:rFonts w:ascii="Calibri" w:hAnsi="Calibri"/>
          <w:color w:val="1E293B"/>
          <w:sz w:val="20"/>
        </w:rPr>
      </w:r>
      <w:r>
        <w:rPr>
          <w:rFonts w:ascii="Calibri" w:hAnsi="Calibri"/>
          <w:b/>
          <w:color w:val="1E293B"/>
          <w:sz w:val="20"/>
        </w:rPr>
        <w:t>Electrical &amp; Optical Verification Loop:</w:t>
      </w:r>
      <w:r>
        <w:rPr>
          <w:rFonts w:ascii="Calibri" w:hAnsi="Calibri"/>
          <w:color w:val="1E293B"/>
          <w:sz w:val="20"/>
        </w:rPr>
        <w:t xml:space="preserve"> Patented/defensible combination of USB-C Power Delivery verification and optical break-beam sensing to prevent "empty box" scams.</w:t>
      </w:r>
    </w:p>
    <w:p>
      <w:pPr>
        <w:pStyle w:val="ListNumber"/>
        <w:spacing w:before="40" w:after="40"/>
      </w:pPr>
      <w:r>
        <w:rPr>
          <w:rFonts w:ascii="Calibri" w:hAnsi="Calibri"/>
          <w:color w:val="1E293B"/>
          <w:sz w:val="20"/>
        </w:rPr>
      </w:r>
      <w:r>
        <w:rPr>
          <w:rFonts w:ascii="Calibri" w:hAnsi="Calibri"/>
          <w:b/>
          <w:color w:val="1E293B"/>
          <w:sz w:val="20"/>
        </w:rPr>
        <w:t>Embedded Indian Customs &amp; FinOps Compliance:</w:t>
      </w:r>
      <w:r>
        <w:rPr>
          <w:rFonts w:ascii="Calibri" w:hAnsi="Calibri"/>
          <w:color w:val="1E293B"/>
          <w:sz w:val="20"/>
        </w:rPr>
        <w:t xml:space="preserve"> Out-of-the-box statutory landed duty calculations and ERP formatting that generic foreign locker vendors cannot match.</w:t>
      </w:r>
    </w:p>
    <w:p>
      <w:r>
        <w:br w:type="page"/>
      </w:r>
    </w:p>
    <w:p>
      <w:pPr>
        <w:spacing w:before="0" w:after="120"/>
      </w:pPr>
      <w:r>
        <w:rPr>
          <w:rFonts w:ascii="Calibri" w:hAnsi="Calibri"/>
          <w:b/>
          <w:color w:val="0284C7"/>
          <w:sz w:val="40"/>
        </w:rPr>
        <w:t>Slide 11: Unit Economics &amp; Customer ROI Case Study</w:t>
      </w:r>
    </w:p>
    <w:p>
      <w:pPr>
        <w:spacing w:before="200" w:after="80"/>
      </w:pPr>
      <w:r>
        <w:rPr>
          <w:rFonts w:ascii="Calibri" w:hAnsi="Calibri"/>
          <w:b/>
          <w:color w:val="0F172A"/>
          <w:sz w:val="26"/>
        </w:rPr>
        <w:t>Representative Customer: Mid-Size Tech Campus (1,500 Employees • 24 Boardrooms)</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w:t>
              <w:br/>
              <w:t>│                             ANNUAL CUSTOMER FINANCIAL IMPACT ANALYSIS                            │</w:t>
              <w:br/>
              <w:t>├────────────────────────────────────────────────────────────────────┬─────────────────────────────┤</w:t>
              <w:br/>
              <w:t>│  Executive Productivity Reclaimed (420 meeting hours @ $350/hr)    │  + $147,000 / year          │</w:t>
              <w:br/>
              <w:t>│  Eliminated Hardware Shrinkage &amp; "Lost Dongles"                    │  + $18,400 / year           │</w:t>
              <w:br/>
              <w:t>│  Reduced IT Helpdesk Level-1 Dispatch Overhead                     │  + $14,200 / year           │</w:t>
              <w:br/>
              <w:t>├────────────────────────────────────────────────────────────────────┼─────────────────────────────┤</w:t>
              <w:br/>
              <w:t>│  TOTAL ANNUAL ECONOMIC GAIN                                        │  + $179,600 / year          │</w:t>
              <w:br/>
              <w:t>│  Less: KioskDrop Enterprise Full Campus Cost (4 Lockers / 48 Bays) │  - $31,280 / year           │</w:t>
              <w:br/>
              <w:t>├────────────────────────────────────────────────────────────────────┼─────────────────────────────┤</w:t>
              <w:br/>
              <w:t>│  NET CLIENT ANNUAL SAVINGS                                         │  = $148,320 / year          │</w:t>
              <w:br/>
              <w:t>│  PROJECTED YEAR-1 RETURN ON INVESTMENT (ROI)                       │  = 574%                     │</w:t>
              <w:br/>
              <w:t>│  CAPITAL PAYBACK PERIOD                                            │  = 2.1 Months               │</w:t>
              <w:br/>
              <w:t>└────────────────────────────────────────────────────────────────────┴─────────────────────────────┘</w:t>
            </w:r>
          </w:p>
        </w:tc>
      </w:tr>
    </w:tbl>
    <w:p>
      <w:pPr>
        <w:spacing w:after="80"/>
      </w:pPr>
    </w:p>
    <w:tbl>
      <w:tblPr>
        <w:tblW w:type="auto" w:w="0"/>
        <w:jc w:val="center"/>
        <w:tblLook w:firstColumn="1" w:firstRow="1" w:lastColumn="0" w:lastRow="0" w:noHBand="0" w:noVBand="1" w:val="04A0"/>
      </w:tblPr>
      <w:tblGrid>
        <w:gridCol w:w="9936"/>
      </w:tblGrid>
      <w:tr>
        <w:tc>
          <w:tcPr>
            <w:tcW w:type="dxa" w:w="9936"/>
            <w:shd w:fill="E0F2FE"/>
            <w:tcMar>
              <w:top w:w="120" w:type="dxa"/>
              <w:bottom w:w="120" w:type="dxa"/>
              <w:left w:w="180" w:type="dxa"/>
              <w:right w:w="180" w:type="dxa"/>
            </w:tcMar>
          </w:tcPr>
          <w:p>
            <w:pPr>
              <w:spacing w:before="40" w:after="40"/>
            </w:pPr>
            <w:r>
              <w:rPr>
                <w:rFonts w:ascii="Calibri" w:hAnsi="Calibri"/>
                <w:i/>
                <w:color w:val="0369A1"/>
                <w:sz w:val="21"/>
              </w:rPr>
              <w:t>Executive CFO Quote (Modeled):</w:t>
            </w:r>
          </w:p>
        </w:tc>
      </w:tr>
    </w:tbl>
    <w:p>
      <w:pPr>
        <w:spacing w:after="80"/>
      </w:pPr>
    </w:p>
    <w:tbl>
      <w:tblPr>
        <w:tblW w:type="auto" w:w="0"/>
        <w:jc w:val="center"/>
        <w:tblLook w:firstColumn="1" w:firstRow="1" w:lastColumn="0" w:lastRow="0" w:noHBand="0" w:noVBand="1" w:val="04A0"/>
      </w:tblPr>
      <w:tblGrid>
        <w:gridCol w:w="9936"/>
      </w:tblGrid>
      <w:tr>
        <w:tc>
          <w:tcPr>
            <w:tcW w:type="dxa" w:w="9936"/>
            <w:shd w:fill="E0F2FE"/>
            <w:tcMar>
              <w:top w:w="120" w:type="dxa"/>
              <w:bottom w:w="120" w:type="dxa"/>
              <w:left w:w="180" w:type="dxa"/>
              <w:right w:w="180" w:type="dxa"/>
            </w:tcMar>
          </w:tcPr>
          <w:p>
            <w:pPr>
              <w:spacing w:before="40" w:after="40"/>
            </w:pPr>
            <w:r>
              <w:rPr>
                <w:rFonts w:ascii="Calibri" w:hAnsi="Calibri"/>
                <w:i/>
                <w:color w:val="0369A1"/>
                <w:sz w:val="21"/>
              </w:rPr>
              <w:t>*"KioskDrop paid for itself before the end of the first quarter. Our executive presentations start on time, our IT team stopped running up and down elevators with cables, and our conference room dongles stopped disappearing."*</w:t>
            </w:r>
          </w:p>
        </w:tc>
      </w:tr>
    </w:tbl>
    <w:p>
      <w:pPr>
        <w:spacing w:after="80"/>
      </w:pPr>
    </w:p>
    <w:p>
      <w:r>
        <w:br w:type="page"/>
      </w:r>
    </w:p>
    <w:p>
      <w:pPr>
        <w:spacing w:before="0" w:after="120"/>
      </w:pPr>
      <w:r>
        <w:rPr>
          <w:rFonts w:ascii="Calibri" w:hAnsi="Calibri"/>
          <w:b/>
          <w:color w:val="0284C7"/>
          <w:sz w:val="40"/>
        </w:rPr>
        <w:t>Slide 12: Go-To-Market (GTM) Playbook &amp; 18-Month Roadmap</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before="80" w:after="80"/>
            </w:pPr>
            <w:r>
              <w:rPr>
                <w:rFonts w:ascii="Consolas" w:hAnsi="Consolas"/>
                <w:color w:val="334155"/>
                <w:sz w:val="17"/>
              </w:rPr>
              <w:t>gantt</w:t>
              <w:br/>
              <w:t xml:space="preserve">    title KioskDrop Enterprise 18-Month Execution Plan</w:t>
              <w:br/>
              <w:t xml:space="preserve">    dateFormat  YYYY-MM-DD</w:t>
              <w:br/>
              <w:t xml:space="preserve">    section Phase 1: Commercial Pilots</w:t>
              <w:br/>
              <w:t xml:space="preserve">    Pilot Rollout across 10 Tech Parks (40 Units) :2026-11-01, 90d</w:t>
              <w:br/>
              <w:t xml:space="preserve">    SOC2 Type II Certification &amp; CISO Whitelist   :2026-12-01, 60d</w:t>
              <w:br/>
              <w:t xml:space="preserve">    section Phase 2: Channel Expansion</w:t>
              <w:br/>
              <w:t xml:space="preserve">    AV Integrator Partnerships (Crestron, Poly)   :2027-02-01, 90d</w:t>
              <w:br/>
              <w:t xml:space="preserve">    Automated RFID Loom Restocking Integration    :2027-03-01, 75d</w:t>
              <w:br/>
              <w:t xml:space="preserve">    section Phase 3: Global Scaling</w:t>
              <w:br/>
              <w:t xml:space="preserve">    Expansion to US &amp; EMEA Enterprise Campuses    :2027-05-01, 120d</w:t>
              <w:br/>
              <w:t xml:space="preserve">    Series A Capital Raise ($6M)                  :2027-08-01, 60d</w:t>
            </w:r>
          </w:p>
        </w:tc>
      </w:tr>
    </w:tbl>
    <w:p>
      <w:pPr>
        <w:spacing w:after="80"/>
      </w:pPr>
    </w:p>
    <w:p>
      <w:pPr>
        <w:spacing w:before="200" w:after="80"/>
      </w:pPr>
      <w:r>
        <w:rPr>
          <w:rFonts w:ascii="Calibri" w:hAnsi="Calibri"/>
          <w:b/>
          <w:color w:val="0F172A"/>
          <w:sz w:val="26"/>
        </w:rPr>
        <w:t>Go-To-Market Execution</w:t>
      </w:r>
    </w:p>
    <w:p>
      <w:pPr>
        <w:pStyle w:val="ListBullet"/>
        <w:spacing w:before="40" w:after="40"/>
      </w:pPr>
      <w:r>
        <w:rPr>
          <w:rFonts w:ascii="Calibri" w:hAnsi="Calibri"/>
          <w:color w:val="1E293B"/>
          <w:sz w:val="20"/>
        </w:rPr>
      </w:r>
      <w:r>
        <w:rPr>
          <w:rFonts w:ascii="Calibri" w:hAnsi="Calibri"/>
          <w:b/>
          <w:color w:val="1E293B"/>
          <w:sz w:val="20"/>
        </w:rPr>
        <w:t>Direct Sales (Inbound &amp; Outbound):</w:t>
      </w:r>
      <w:r>
        <w:rPr>
          <w:rFonts w:ascii="Calibri" w:hAnsi="Calibri"/>
          <w:color w:val="1E293B"/>
          <w:sz w:val="20"/>
        </w:rPr>
        <w:t xml:space="preserve"> Direct targeting of Enterprise Chief Information Officers (CIOs), Workplace Technology Directors, and Corporate Real Estate (CRE) leads in major tech hubs (Bangalore, Hyderabad, Singapore, London, New York).</w:t>
      </w:r>
    </w:p>
    <w:p>
      <w:pPr>
        <w:pStyle w:val="ListBullet"/>
        <w:spacing w:before="40" w:after="40"/>
      </w:pPr>
      <w:r>
        <w:rPr>
          <w:rFonts w:ascii="Calibri" w:hAnsi="Calibri"/>
          <w:color w:val="1E293B"/>
          <w:sz w:val="20"/>
        </w:rPr>
      </w:r>
      <w:r>
        <w:rPr>
          <w:rFonts w:ascii="Calibri" w:hAnsi="Calibri"/>
          <w:b/>
          <w:color w:val="1E293B"/>
          <w:sz w:val="20"/>
        </w:rPr>
        <w:t>Channel Distribution:</w:t>
      </w:r>
      <w:r>
        <w:rPr>
          <w:rFonts w:ascii="Calibri" w:hAnsi="Calibri"/>
          <w:color w:val="1E293B"/>
          <w:sz w:val="20"/>
        </w:rPr>
        <w:t xml:space="preserve"> Partnering with enterprise AV integrators (Crestron, Logitech, Poly) as a recommended add-on to multi-room AV fit-out contracts.</w:t>
      </w:r>
    </w:p>
    <w:p>
      <w:pPr>
        <w:spacing w:before="200" w:after="80"/>
      </w:pPr>
      <w:r>
        <w:rPr>
          <w:rFonts w:ascii="Calibri" w:hAnsi="Calibri"/>
          <w:b/>
          <w:color w:val="0F172A"/>
          <w:sz w:val="26"/>
        </w:rPr>
        <w:t>The Seed Capital Allocation ($1.8M Ask)</w:t>
      </w:r>
    </w:p>
    <w:p>
      <w:pPr>
        <w:pStyle w:val="ListBullet"/>
        <w:spacing w:before="40" w:after="40"/>
      </w:pPr>
      <w:r>
        <w:rPr>
          <w:rFonts w:ascii="Calibri" w:hAnsi="Calibri"/>
          <w:color w:val="1E293B"/>
          <w:sz w:val="20"/>
        </w:rPr>
      </w:r>
      <w:r>
        <w:rPr>
          <w:rFonts w:ascii="Calibri" w:hAnsi="Calibri"/>
          <w:b/>
          <w:color w:val="1E293B"/>
          <w:sz w:val="20"/>
        </w:rPr>
        <w:t>Hardware Tooling &amp; Fabrication (35%):</w:t>
      </w:r>
      <w:r>
        <w:rPr>
          <w:rFonts w:ascii="Calibri" w:hAnsi="Calibri"/>
          <w:color w:val="1E293B"/>
          <w:sz w:val="20"/>
        </w:rPr>
        <w:t xml:space="preserve"> Commercial-grade sheet metal locker tooling, UL/CE electrical safety certifications, and initial batch production.</w:t>
      </w:r>
    </w:p>
    <w:p>
      <w:pPr>
        <w:pStyle w:val="ListBullet"/>
        <w:spacing w:before="40" w:after="40"/>
      </w:pPr>
      <w:r>
        <w:rPr>
          <w:rFonts w:ascii="Calibri" w:hAnsi="Calibri"/>
          <w:color w:val="1E293B"/>
          <w:sz w:val="20"/>
        </w:rPr>
      </w:r>
      <w:r>
        <w:rPr>
          <w:rFonts w:ascii="Calibri" w:hAnsi="Calibri"/>
          <w:b/>
          <w:color w:val="1E293B"/>
          <w:sz w:val="20"/>
        </w:rPr>
        <w:t>Engineering &amp; Platform Development (30%):</w:t>
      </w:r>
      <w:r>
        <w:rPr>
          <w:rFonts w:ascii="Calibri" w:hAnsi="Calibri"/>
          <w:color w:val="1E293B"/>
          <w:sz w:val="20"/>
        </w:rPr>
        <w:t xml:space="preserve"> Deeper native connectors for SAP S/4HANA, ServiceNow Service Graph, and enterprise identity (Azure AD / Okta).</w:t>
      </w:r>
    </w:p>
    <w:p>
      <w:pPr>
        <w:pStyle w:val="ListBullet"/>
        <w:spacing w:before="40" w:after="40"/>
      </w:pPr>
      <w:r>
        <w:rPr>
          <w:rFonts w:ascii="Calibri" w:hAnsi="Calibri"/>
          <w:color w:val="1E293B"/>
          <w:sz w:val="20"/>
        </w:rPr>
      </w:r>
      <w:r>
        <w:rPr>
          <w:rFonts w:ascii="Calibri" w:hAnsi="Calibri"/>
          <w:b/>
          <w:color w:val="1E293B"/>
          <w:sz w:val="20"/>
        </w:rPr>
        <w:t>Enterprise GTM &amp; Sales (25%):</w:t>
      </w:r>
      <w:r>
        <w:rPr>
          <w:rFonts w:ascii="Calibri" w:hAnsi="Calibri"/>
          <w:color w:val="1E293B"/>
          <w:sz w:val="20"/>
        </w:rPr>
        <w:t xml:space="preserve"> Direct enterprise sales reps, customer success engineers, and tech park pilot sponsorships.</w:t>
      </w:r>
    </w:p>
    <w:p>
      <w:pPr>
        <w:pStyle w:val="ListBullet"/>
        <w:spacing w:before="40" w:after="40"/>
      </w:pPr>
      <w:r>
        <w:rPr>
          <w:rFonts w:ascii="Calibri" w:hAnsi="Calibri"/>
          <w:color w:val="1E293B"/>
          <w:sz w:val="20"/>
        </w:rPr>
      </w:r>
      <w:r>
        <w:rPr>
          <w:rFonts w:ascii="Calibri" w:hAnsi="Calibri"/>
          <w:b/>
          <w:color w:val="1E293B"/>
          <w:sz w:val="20"/>
        </w:rPr>
        <w:t>Working Capital &amp; Compliance (10%):</w:t>
      </w:r>
      <w:r>
        <w:rPr>
          <w:rFonts w:ascii="Calibri" w:hAnsi="Calibri"/>
          <w:color w:val="1E293B"/>
          <w:sz w:val="20"/>
        </w:rPr>
        <w:t xml:space="preserve"> SOC2 Type II, ISO 27001, and legal certifications.</w:t>
      </w:r>
    </w:p>
    <w:p>
      <w:pPr>
        <w:spacing w:before="60" w:after="80"/>
      </w:pPr>
      <w:r>
        <w:rPr>
          <w:rFonts w:ascii="Calibri" w:hAnsi="Calibri"/>
          <w:color w:val="1E293B"/>
          <w:sz w:val="20"/>
        </w:rPr>
        <w:t>## 🤝 The Future of Frictionless Workplaces</w:t>
      </w:r>
    </w:p>
    <w:p>
      <w:pPr>
        <w:spacing w:before="200" w:after="80"/>
      </w:pPr>
      <w:r>
        <w:rPr>
          <w:rFonts w:ascii="Calibri" w:hAnsi="Calibri"/>
          <w:b/>
          <w:color w:val="0F172A"/>
          <w:sz w:val="26"/>
        </w:rPr>
        <w:t>Invest in Zero-Downtime Executive Collaboration</w:t>
      </w:r>
    </w:p>
    <w:p>
      <w:pPr>
        <w:spacing w:before="60" w:after="80"/>
      </w:pPr>
      <w:r>
        <w:rPr>
          <w:rFonts w:ascii="Calibri" w:hAnsi="Calibri"/>
          <w:color w:val="1E293B"/>
          <w:sz w:val="20"/>
        </w:rPr>
      </w:r>
      <w:r>
        <w:rPr>
          <w:rFonts w:ascii="Calibri" w:hAnsi="Calibri"/>
          <w:b/>
          <w:color w:val="1E293B"/>
          <w:sz w:val="20"/>
        </w:rPr>
        <w:t>KioskDrop Enterprise</w:t>
      </w:r>
      <w:r>
        <w:rPr>
          <w:rFonts w:ascii="Calibri" w:hAnsi="Calibri"/>
          <w:color w:val="1E293B"/>
          <w:sz w:val="20"/>
        </w:rPr>
      </w:r>
    </w:p>
    <w:p>
      <w:pPr>
        <w:spacing w:before="60" w:after="80"/>
      </w:pPr>
      <w:r>
        <w:rPr>
          <w:rFonts w:ascii="Calibri" w:hAnsi="Calibri"/>
          <w:color w:val="1E293B"/>
          <w:sz w:val="20"/>
        </w:rPr>
        <w:t>*Website:* [https://github.com/AgrShubham/kioskdrop-enterprise](https://github.com/AgrShubham/kioskdrop-enterprise)</w:t>
      </w:r>
    </w:p>
    <w:p>
      <w:pPr>
        <w:spacing w:before="60" w:after="80"/>
      </w:pPr>
      <w:r>
        <w:rPr>
          <w:rFonts w:ascii="Calibri" w:hAnsi="Calibri"/>
          <w:color w:val="1E293B"/>
          <w:sz w:val="20"/>
        </w:rPr>
        <w:t>*Contact:* [ag.shubham747@gmail.com](mailto:ag.shubham747@gmail.com)</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