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5B5B5B"/>
          <w:sz w:val="22"/>
        </w:rPr>
        <w:t>PROJECT 7</w:t>
      </w:r>
    </w:p>
    <w:p>
      <w:pPr>
        <w:pStyle w:val="Title"/>
        <w:jc w:val="center"/>
      </w:pPr>
      <w:r>
        <w:rPr>
          <w:color w:val="17365D"/>
        </w:rPr>
        <w:t>USGS Earthquake Event</w:t>
        <w:br/>
        <w:t>Analytics Pipeline</w:t>
      </w:r>
    </w:p>
    <w:p>
      <w:pPr>
        <w:jc w:val="center"/>
      </w:pPr>
      <w:r>
        <w:rPr>
          <w:i/>
          <w:color w:val="5B5B5B"/>
          <w:sz w:val="21"/>
        </w:rPr>
        <w:t>A local medallion-architecture data engineering project for students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AF1FB"/>
            <w:tcMar>
              <w:top w:w="90" w:type="dxa"/>
              <w:start w:w="90" w:type="dxa"/>
              <w:bottom w:w="90" w:type="dxa"/>
              <w:end w:w="90" w:type="dxa"/>
            </w:tcMar>
          </w:tcPr>
          <w:p>
            <w:pPr>
              <w:jc w:val="center"/>
            </w:pPr>
            <w:r/>
            <w:r>
              <w:rPr>
                <w:b/>
                <w:sz w:val="18"/>
              </w:rPr>
              <w:t>Source API</w:t>
              <w:br/>
            </w:r>
            <w:r>
              <w:rPr>
                <w:sz w:val="18"/>
              </w:rPr>
              <w:t>USGS Earthquake GeoJSON Feeds / Query API</w:t>
            </w:r>
          </w:p>
        </w:tc>
        <w:tc>
          <w:tcPr>
            <w:tcW w:type="dxa" w:w="2484"/>
            <w:vAlign w:val="center"/>
            <w:shd w:fill="EAF1FB"/>
            <w:tcMar>
              <w:top w:w="90" w:type="dxa"/>
              <w:start w:w="90" w:type="dxa"/>
              <w:bottom w:w="90" w:type="dxa"/>
              <w:end w:w="90" w:type="dxa"/>
            </w:tcMar>
          </w:tcPr>
          <w:p>
            <w:pPr>
              <w:jc w:val="center"/>
            </w:pPr>
            <w:r/>
            <w:r>
              <w:rPr>
                <w:b/>
                <w:sz w:val="18"/>
              </w:rPr>
              <w:t>Pipeline Type</w:t>
              <w:br/>
            </w:r>
            <w:r>
              <w:rPr>
                <w:sz w:val="18"/>
              </w:rPr>
              <w:t>API → Bronze → Silver → Gold</w:t>
            </w:r>
          </w:p>
        </w:tc>
        <w:tc>
          <w:tcPr>
            <w:tcW w:type="dxa" w:w="2484"/>
            <w:vAlign w:val="center"/>
            <w:shd w:fill="EAF1FB"/>
            <w:tcMar>
              <w:top w:w="90" w:type="dxa"/>
              <w:start w:w="90" w:type="dxa"/>
              <w:bottom w:w="90" w:type="dxa"/>
              <w:end w:w="90" w:type="dxa"/>
            </w:tcMar>
          </w:tcPr>
          <w:p>
            <w:pPr>
              <w:jc w:val="center"/>
            </w:pPr>
            <w:r/>
            <w:r>
              <w:rPr>
                <w:b/>
                <w:sz w:val="18"/>
              </w:rPr>
              <w:t>Primary Data</w:t>
              <w:br/>
            </w:r>
            <w:r>
              <w:rPr>
                <w:sz w:val="18"/>
              </w:rPr>
              <w:t>Event-based geospatial time series</w:t>
            </w:r>
          </w:p>
        </w:tc>
        <w:tc>
          <w:tcPr>
            <w:tcW w:type="dxa" w:w="2484"/>
            <w:vAlign w:val="center"/>
            <w:shd w:fill="EAF1FB"/>
            <w:tcMar>
              <w:top w:w="90" w:type="dxa"/>
              <w:start w:w="90" w:type="dxa"/>
              <w:bottom w:w="90" w:type="dxa"/>
              <w:end w:w="90" w:type="dxa"/>
            </w:tcMar>
          </w:tcPr>
          <w:p>
            <w:pPr>
              <w:jc w:val="center"/>
            </w:pPr>
            <w:r/>
            <w:r>
              <w:rPr>
                <w:b/>
                <w:sz w:val="18"/>
              </w:rPr>
              <w:t>Local Stack</w:t>
              <w:br/>
            </w:r>
            <w:r>
              <w:rPr>
                <w:sz w:val="18"/>
              </w:rPr>
              <w:t>Python, Pandas, Parquet, local folders</w:t>
            </w:r>
          </w:p>
        </w:tc>
      </w:tr>
    </w:tbl>
    <w:p>
      <w:pPr>
        <w:pStyle w:val="Heading1"/>
        <w:spacing w:before="160" w:after="80"/>
      </w:pPr>
      <w:r>
        <w:t>1. Project Overview</w:t>
      </w:r>
    </w:p>
    <w:p>
      <w:pPr>
        <w:spacing w:after="80"/>
      </w:pPr>
      <w:r>
        <w:t>This project helps students build a complete local data engineering pipeline using earthquake event data from the United States Geological Survey (USGS). The source data is published through public GeoJSON feeds and a query API, making it suitable for repeatable local practice without requiring a cloud environment.</w:t>
      </w:r>
    </w:p>
    <w:p>
      <w:pPr>
        <w:pStyle w:val="ListBullet"/>
        <w:spacing w:after="40"/>
      </w:pPr>
      <w:r>
        <w:t>Students learn API ingestion, parameterized extraction, raw snapshot storage, schema normalization, geospatial attribute handling, time-based analytics, and medallion architecture.</w:t>
      </w:r>
    </w:p>
    <w:p>
      <w:pPr>
        <w:pStyle w:val="ListBullet"/>
        <w:spacing w:after="40"/>
      </w:pPr>
      <w:r>
        <w:t>The project can run entirely on a laptop by using the local file system as the data lake and Parquet files as the main storage format for Silver and Gold.</w:t>
      </w:r>
    </w:p>
    <w:p>
      <w:pPr>
        <w:pStyle w:val="ListBullet"/>
        <w:spacing w:after="40"/>
      </w:pPr>
      <w:r>
        <w:t>The final Gold layer is useful for dashboards, daily monitoring, and operational analysis of earthquake frequency, magnitude distribution, and regional activity.</w:t>
      </w:r>
    </w:p>
    <w:p>
      <w:pPr>
        <w:pStyle w:val="Heading1"/>
        <w:spacing w:before="160" w:after="80"/>
      </w:pPr>
      <w:r>
        <w:t>2. Business Problem Statement</w:t>
      </w:r>
    </w:p>
    <w:p>
      <w:pPr>
        <w:spacing w:after="80"/>
      </w:pPr>
      <w:r>
        <w:t>A disaster monitoring team wants a local analytics pipeline that captures earthquake events and produces daily operational summaries. They want to understand how frequently seismic events are happening, which regions are most active, how magnitudes are distributed, and whether event counts are increasing over time.</w:t>
      </w:r>
    </w:p>
    <w:p>
      <w:pPr>
        <w:spacing w:after="80"/>
      </w:pPr>
      <w:r>
        <w:t>The pipeline should answer business questions such as:</w:t>
      </w:r>
    </w:p>
    <w:p>
      <w:pPr>
        <w:pStyle w:val="ListBullet"/>
        <w:spacing w:after="40"/>
      </w:pPr>
      <w:r>
        <w:t>How many earthquake events occurred each day and each week?</w:t>
      </w:r>
    </w:p>
    <w:p>
      <w:pPr>
        <w:pStyle w:val="ListBullet"/>
        <w:spacing w:after="40"/>
      </w:pPr>
      <w:r>
        <w:t>Which regions recorded the highest number of events?</w:t>
      </w:r>
    </w:p>
    <w:p>
      <w:pPr>
        <w:pStyle w:val="ListBullet"/>
        <w:spacing w:after="40"/>
      </w:pPr>
      <w:r>
        <w:t>What was the strongest event in each time window?</w:t>
      </w:r>
    </w:p>
    <w:p>
      <w:pPr>
        <w:pStyle w:val="ListBullet"/>
        <w:spacing w:after="40"/>
      </w:pPr>
      <w:r>
        <w:t>How many events fell into each magnitude band?</w:t>
      </w:r>
    </w:p>
    <w:p>
      <w:pPr>
        <w:pStyle w:val="ListBullet"/>
        <w:spacing w:after="40"/>
      </w:pPr>
      <w:r>
        <w:t>What is the average depth and average magnitude by region?</w:t>
      </w:r>
    </w:p>
    <w:p>
      <w:pPr>
        <w:pStyle w:val="Heading1"/>
        <w:spacing w:before="160" w:after="80"/>
      </w:pPr>
      <w:r>
        <w:t>3. Source System and API Scope</w:t>
      </w:r>
    </w:p>
    <w:p>
      <w:pPr>
        <w:spacing w:after="80"/>
      </w:pPr>
      <w:r>
        <w:t>Use the USGS Earthquake Hazards Program feeds. The source is delivered in GeoJSON format. For student projects, start with a limited window such as the last 7 days or last 30 days, then expand the pipeline to support incremental loads.</w:t>
      </w:r>
    </w:p>
    <w:p>
      <w:pPr>
        <w:spacing w:after="80"/>
      </w:pPr>
      <w:r>
        <w:t>Recommended source options:</w:t>
      </w:r>
    </w:p>
    <w:p>
      <w:pPr>
        <w:pStyle w:val="ListBullet"/>
        <w:spacing w:after="40"/>
      </w:pPr>
      <w:r>
        <w:t>Prebuilt feeds such as all_day, all_week, and all_month.</w:t>
      </w:r>
    </w:p>
    <w:p>
      <w:pPr>
        <w:pStyle w:val="ListBullet"/>
        <w:spacing w:after="40"/>
      </w:pPr>
      <w:r>
        <w:t>Parameterized query endpoint where start time, end time, minimum magnitude, and geographic filters can be supplied.</w:t>
      </w:r>
    </w:p>
    <w:p>
      <w:pPr>
        <w:spacing w:after="80"/>
      </w:pPr>
      <w:r>
        <w:t>Important modeling note: the payload is a GeoJSON FeatureCollection. Event records are stored under features, event attributes are mostly inside properties, and longitude/latitude/depth values are stored inside geometry.coordinates. Silver transformation should flatten these carefully into a single event table.</w:t>
      </w:r>
    </w:p>
    <w:p>
      <w:pPr>
        <w:spacing w:after="80"/>
      </w:pPr>
      <w:r>
        <w:t>For local practice, always persist the raw payload exactly as received and never transform directly from the live API into Gold tables.</w:t>
      </w:r>
    </w:p>
    <w:p>
      <w:pPr>
        <w:pStyle w:val="Heading1"/>
        <w:spacing w:before="160" w:after="80"/>
      </w:pPr>
      <w:r>
        <w:t>4. Expected Data Entities</w:t>
      </w:r>
    </w:p>
    <w:p>
      <w:pPr>
        <w:pStyle w:val="ListBullet"/>
        <w:spacing w:after="40"/>
      </w:pPr>
      <w:r>
        <w:t>Feed snapshot: feed_name, extraction_timestamp, request_url, metadata_title, metadata_status, metadata_count.</w:t>
      </w:r>
    </w:p>
    <w:p>
      <w:pPr>
        <w:pStyle w:val="ListBullet"/>
        <w:spacing w:after="40"/>
      </w:pPr>
      <w:r>
        <w:t>Earthquake event: event_id, event_time_utc, updated_time_utc, magnitude, magnitude_type, place, status, tsunami_flag, significance_score.</w:t>
      </w:r>
    </w:p>
    <w:p>
      <w:pPr>
        <w:pStyle w:val="ListBullet"/>
        <w:spacing w:after="40"/>
      </w:pPr>
      <w:r>
        <w:t>Location attributes: longitude, latitude, depth_km, place, nearest_region or parsed area label.</w:t>
      </w:r>
    </w:p>
    <w:p>
      <w:pPr>
        <w:pStyle w:val="ListBullet"/>
        <w:spacing w:after="40"/>
      </w:pPr>
      <w:r>
        <w:t>Quality attributes: alert_level, event_type, network, gap, rms, dmin, horizontal_error, depth_error, magnitude_error.</w:t>
      </w:r>
    </w:p>
    <w:p>
      <w:pPr>
        <w:pStyle w:val="ListBullet"/>
        <w:spacing w:after="40"/>
      </w:pPr>
      <w:r>
        <w:t>Derived calendar fields: event_date, event_hour, event_week, event_month.</w:t>
      </w:r>
    </w:p>
    <w:p>
      <w:pPr>
        <w:pStyle w:val="Heading1"/>
        <w:spacing w:before="160" w:after="80"/>
      </w:pPr>
      <w:r>
        <w:t>5. Local Folder Structure</w:t>
      </w:r>
    </w:p>
    <w:p>
      <w:pPr>
        <w:spacing w:after="80"/>
      </w:pPr>
      <w:r>
        <w:t>Use a production-like folder structure so each layer has a clear responsibility and the pipeline is easy to maintain.</w:t>
      </w:r>
    </w:p>
    <w:p>
      <w:pPr>
        <w:pStyle w:val="Heading1"/>
        <w:spacing w:before="160" w:after="80"/>
      </w:pPr>
      <w:r>
        <w:t>6. Bronze Layer Design</w:t>
      </w:r>
    </w:p>
    <w:p>
      <w:pPr>
        <w:spacing w:after="80"/>
      </w:pPr>
      <w:r>
        <w:t>The Bronze layer stores raw API payloads exactly as returned by USGS. Do not flatten the FeatureCollection or apply business rules in this layer.</w:t>
      </w:r>
    </w:p>
    <w:p>
      <w:pPr>
        <w:spacing w:after="80"/>
      </w:pPr>
      <w:r>
        <w:t>Bronze storage guidelines:</w:t>
      </w:r>
    </w:p>
    <w:p>
      <w:pPr>
        <w:pStyle w:val="ListBullet"/>
        <w:spacing w:after="40"/>
      </w:pPr>
      <w:r>
        <w:t>Store one raw JSON file per extraction run, feed, and extraction timestamp.</w:t>
      </w:r>
    </w:p>
    <w:p>
      <w:pPr>
        <w:pStyle w:val="ListBullet"/>
        <w:spacing w:after="40"/>
      </w:pPr>
      <w:r>
        <w:t>Partition by extraction date so historical snapshots can be reprocessed later.</w:t>
      </w:r>
    </w:p>
    <w:p>
      <w:pPr>
        <w:pStyle w:val="ListBullet"/>
        <w:spacing w:after="40"/>
      </w:pPr>
      <w:r>
        <w:t>Save request metadata such as feed name, endpoint URL, and extraction time in the file name or a companion manifest.</w:t>
      </w:r>
    </w:p>
    <w:p>
      <w:pPr>
        <w:pStyle w:val="ListBullet"/>
        <w:spacing w:after="40"/>
      </w:pPr>
      <w:r>
        <w:t>Log failed requests separately with response code, error message, and retry count.</w:t>
      </w:r>
    </w:p>
    <w:p>
      <w:pPr>
        <w:spacing w:after="80"/>
      </w:pPr>
      <w:r>
        <w:t>Example Bronze paths:</w:t>
      </w:r>
    </w:p>
    <w:p>
      <w:pPr>
        <w:pStyle w:val="Heading1"/>
        <w:spacing w:before="160" w:after="80"/>
      </w:pPr>
      <w:r>
        <w:t>7. Silver Layer Design</w:t>
      </w:r>
    </w:p>
    <w:p>
      <w:pPr>
        <w:spacing w:after="80"/>
      </w:pPr>
      <w:r>
        <w:t>The Silver layer converts nested GeoJSON into clean, analysis-ready structured datasets. This is where schema standardization, data typing, deduplication, and derived attributes are applied.</w:t>
      </w:r>
    </w:p>
    <w:p>
      <w:pPr>
        <w:spacing w:after="80"/>
      </w:pPr>
      <w:r>
        <w:t>Recommended Silver outputs:</w:t>
      </w:r>
    </w:p>
    <w:p>
      <w:pPr>
        <w:pStyle w:val="ListBullet"/>
        <w:spacing w:after="40"/>
      </w:pPr>
      <w:r>
        <w:t>silver_earthquake_events.parquet</w:t>
      </w:r>
    </w:p>
    <w:p>
      <w:pPr>
        <w:pStyle w:val="ListBullet"/>
        <w:spacing w:after="40"/>
      </w:pPr>
      <w:r>
        <w:t>silver_feed_snapshots.parquet</w:t>
      </w:r>
    </w:p>
    <w:p>
      <w:pPr>
        <w:pStyle w:val="ListBullet"/>
        <w:spacing w:after="40"/>
      </w:pPr>
      <w:r>
        <w:t>silver_magnitude_bands.parquet if magnitude groups are materialized as a reusable lookup</w:t>
      </w:r>
    </w:p>
    <w:p>
      <w:pPr>
        <w:spacing w:after="80"/>
      </w:pPr>
      <w:r>
        <w:t>Silver transformation goals:</w:t>
      </w:r>
    </w:p>
    <w:p>
      <w:pPr>
        <w:pStyle w:val="ListBullet"/>
        <w:spacing w:after="40"/>
      </w:pPr>
      <w:r>
        <w:t>Flatten features[].properties and features[].geometry.coordinates into one row per event.</w:t>
      </w:r>
    </w:p>
    <w:p>
      <w:pPr>
        <w:pStyle w:val="ListBullet"/>
        <w:spacing w:after="40"/>
      </w:pPr>
      <w:r>
        <w:t>Convert epoch timestamps from milliseconds into UTC datetime columns.</w:t>
      </w:r>
    </w:p>
    <w:p>
      <w:pPr>
        <w:pStyle w:val="ListBullet"/>
        <w:spacing w:after="40"/>
      </w:pPr>
      <w:r>
        <w:t>Rename fields to consistent snake_case names.</w:t>
      </w:r>
    </w:p>
    <w:p>
      <w:pPr>
        <w:pStyle w:val="ListBullet"/>
        <w:spacing w:after="40"/>
      </w:pPr>
      <w:r>
        <w:t>Cast magnitude, depth, latitude, and longitude to numeric types.</w:t>
      </w:r>
    </w:p>
    <w:p>
      <w:pPr>
        <w:pStyle w:val="ListBullet"/>
        <w:spacing w:after="40"/>
      </w:pPr>
      <w:r>
        <w:t>Remove duplicate events using event_id as the business key.</w:t>
      </w:r>
    </w:p>
    <w:p>
      <w:pPr>
        <w:pStyle w:val="ListBullet"/>
        <w:spacing w:after="40"/>
      </w:pPr>
      <w:r>
        <w:t>Derive event_date, event_hour, event_week_start, and load_date.</w:t>
      </w:r>
    </w:p>
    <w:p>
      <w:pPr>
        <w:pStyle w:val="Heading1"/>
        <w:spacing w:before="160" w:after="80"/>
      </w:pPr>
      <w:r>
        <w:t>8. Gold Layer Design</w:t>
      </w:r>
    </w:p>
    <w:p>
      <w:pPr>
        <w:spacing w:after="80"/>
      </w:pPr>
      <w:r>
        <w:t>The Gold layer contains business-ready marts and KPI tables that can be consumed directly by notebooks or dashboards.</w:t>
      </w:r>
    </w:p>
    <w:p>
      <w:pPr>
        <w:spacing w:after="80"/>
      </w:pPr>
      <w:r>
        <w:t>Recommended Gold tables:</w:t>
      </w:r>
    </w:p>
    <w:p>
      <w:pPr>
        <w:pStyle w:val="ListBullet"/>
        <w:spacing w:after="40"/>
      </w:pPr>
      <w:r>
        <w:t>gold_daily_event_summary: one row per date with event_count, max_magnitude, avg_magnitude, avg_depth_km, tsunami_event_count.</w:t>
      </w:r>
    </w:p>
    <w:p>
      <w:pPr>
        <w:pStyle w:val="ListBullet"/>
        <w:spacing w:after="40"/>
      </w:pPr>
      <w:r>
        <w:t>gold_region_activity: region-level daily or weekly activity with event_count, strongest_event_magnitude, avg_depth_km.</w:t>
      </w:r>
    </w:p>
    <w:p>
      <w:pPr>
        <w:pStyle w:val="ListBullet"/>
        <w:spacing w:after="40"/>
      </w:pPr>
      <w:r>
        <w:t>gold_magnitude_distribution: counts by date and magnitude band such as &lt;2.5, 2.5–4.9, 5.0–5.9, 6.0+.</w:t>
      </w:r>
    </w:p>
    <w:p>
      <w:pPr>
        <w:pStyle w:val="ListBullet"/>
        <w:spacing w:after="40"/>
      </w:pPr>
      <w:r>
        <w:t>gold_top_events: strongest or highest-significance events in the selected window.</w:t>
      </w:r>
    </w:p>
    <w:p>
      <w:pPr>
        <w:spacing w:after="80"/>
      </w:pPr>
      <w:r>
        <w:t>Gold tables should be understandable without requiring users to inspect the raw API schema.</w:t>
      </w:r>
    </w:p>
    <w:p>
      <w:pPr>
        <w:pStyle w:val="Heading1"/>
        <w:spacing w:before="160" w:after="80"/>
      </w:pPr>
      <w:r>
        <w:t>9. Step-by-Step Implementation Plan</w:t>
      </w:r>
    </w:p>
    <w:p>
      <w:pPr>
        <w:pStyle w:val="Heading2"/>
        <w:spacing w:before="120" w:after="40"/>
      </w:pPr>
      <w:r>
        <w:t>Step 1: Define scope and extraction window</w:t>
      </w:r>
    </w:p>
    <w:p>
      <w:pPr>
        <w:spacing w:after="80"/>
      </w:pPr>
      <w:r>
        <w:t>Choose one feed or one query pattern. A good starting point is the last 7 days of worldwide events with minimum magnitude 1.0 or 2.5. Document the refresh frequency and retention strategy.</w:t>
      </w:r>
    </w:p>
    <w:p>
      <w:pPr>
        <w:pStyle w:val="Heading2"/>
        <w:spacing w:before="120" w:after="40"/>
      </w:pPr>
      <w:r>
        <w:t>Step 2: Build extraction script</w:t>
      </w:r>
    </w:p>
    <w:p>
      <w:pPr>
        <w:spacing w:after="80"/>
      </w:pPr>
      <w:r>
        <w:t>Create a Python extractor using requests. Read feed names, base URLs, and optional parameters from a configuration file. Save the response exactly as received into Bronze.</w:t>
      </w:r>
    </w:p>
    <w:p>
      <w:pPr>
        <w:pStyle w:val="Heading2"/>
        <w:spacing w:before="120" w:after="40"/>
      </w:pPr>
      <w:r>
        <w:t>Step 3: Validate Bronze ingestion</w:t>
      </w:r>
    </w:p>
    <w:p>
      <w:pPr>
        <w:spacing w:after="80"/>
      </w:pPr>
      <w:r>
        <w:t>Before transformation, confirm that the response code was successful, metadata.count is present, and features exists as a list. Log malformed or empty responses.</w:t>
      </w:r>
    </w:p>
    <w:p>
      <w:pPr>
        <w:pStyle w:val="Heading2"/>
        <w:spacing w:before="120" w:after="40"/>
      </w:pPr>
      <w:r>
        <w:t>Step 4: Transform Bronze to Silver</w:t>
      </w:r>
    </w:p>
    <w:p>
      <w:pPr>
        <w:spacing w:after="80"/>
      </w:pPr>
      <w:r>
        <w:t>Flatten the FeatureCollection into event-level records. Parse geometry.coordinates into longitude, latitude, and depth_km. Convert all timestamps to UTC datetime and generate derived calendar fields.</w:t>
      </w:r>
    </w:p>
    <w:p>
      <w:pPr>
        <w:pStyle w:val="Heading2"/>
        <w:spacing w:before="120" w:after="40"/>
      </w:pPr>
      <w:r>
        <w:t>Step 5: Apply Silver data quality checks</w:t>
      </w:r>
    </w:p>
    <w:p>
      <w:pPr>
        <w:spacing w:after="80"/>
      </w:pPr>
      <w:r>
        <w:t>Validate business keys, datatypes, null patterns, and numeric ranges. Records that fail critical rules should be quarantined or written to an exceptions file.</w:t>
      </w:r>
    </w:p>
    <w:p>
      <w:pPr>
        <w:pStyle w:val="Heading2"/>
        <w:spacing w:before="120" w:after="40"/>
      </w:pPr>
      <w:r>
        <w:t>Step 6: Build Gold marts</w:t>
      </w:r>
    </w:p>
    <w:p>
      <w:pPr>
        <w:spacing w:after="80"/>
      </w:pPr>
      <w:r>
        <w:t>Aggregate events by date, region, and magnitude band. Create top-event and trend tables for reporting.</w:t>
      </w:r>
    </w:p>
    <w:p>
      <w:pPr>
        <w:pStyle w:val="Heading2"/>
        <w:spacing w:before="120" w:after="40"/>
      </w:pPr>
      <w:r>
        <w:t>Step 7: Publish local analytics output</w:t>
      </w:r>
    </w:p>
    <w:p>
      <w:pPr>
        <w:spacing w:after="80"/>
      </w:pPr>
      <w:r>
        <w:t>Use a Jupyter notebook or Streamlit app to show event trends, regional activity, strongest earthquakes, and magnitude distribution charts.</w:t>
      </w:r>
    </w:p>
    <w:p>
      <w:pPr>
        <w:pStyle w:val="Heading2"/>
        <w:spacing w:before="120" w:after="40"/>
      </w:pPr>
      <w:r>
        <w:t>Step 8: Orchestrate the pipeline</w:t>
      </w:r>
    </w:p>
    <w:p>
      <w:pPr>
        <w:spacing w:after="80"/>
      </w:pPr>
      <w:r>
        <w:t>Create a main runner script that executes extract → validate Bronze → transform Silver → validate Silver → build Gold → generate report.</w:t>
      </w:r>
    </w:p>
    <w:p>
      <w:pPr>
        <w:pStyle w:val="Heading1"/>
        <w:spacing w:before="160" w:after="80"/>
      </w:pPr>
      <w:r>
        <w:t>10. Data Quality Rules</w:t>
      </w:r>
    </w:p>
    <w:p>
      <w:pPr>
        <w:spacing w:after="80"/>
      </w:pPr>
      <w:r>
        <w:t>The following rules should be implemented explicitly so the student demonstrates data trust and not only data movement.</w:t>
      </w:r>
    </w:p>
    <w:p>
      <w:pPr>
        <w:pStyle w:val="Heading1"/>
        <w:spacing w:before="160" w:after="80"/>
      </w:pPr>
      <w:r>
        <w:t>11. KPI and Analytical Outputs</w:t>
      </w:r>
    </w:p>
    <w:p>
      <w:pPr>
        <w:pStyle w:val="ListBullet"/>
        <w:spacing w:after="40"/>
      </w:pPr>
      <w:r>
        <w:t>Daily earthquake count</w:t>
      </w:r>
    </w:p>
    <w:p>
      <w:pPr>
        <w:pStyle w:val="ListBullet"/>
        <w:spacing w:after="40"/>
      </w:pPr>
      <w:r>
        <w:t>Weekly earthquake count</w:t>
      </w:r>
    </w:p>
    <w:p>
      <w:pPr>
        <w:pStyle w:val="ListBullet"/>
        <w:spacing w:after="40"/>
      </w:pPr>
      <w:r>
        <w:t>Maximum magnitude by day</w:t>
      </w:r>
    </w:p>
    <w:p>
      <w:pPr>
        <w:pStyle w:val="ListBullet"/>
        <w:spacing w:after="40"/>
      </w:pPr>
      <w:r>
        <w:t>Average magnitude by region</w:t>
      </w:r>
    </w:p>
    <w:p>
      <w:pPr>
        <w:pStyle w:val="ListBullet"/>
        <w:spacing w:after="40"/>
      </w:pPr>
      <w:r>
        <w:t>Average depth by region</w:t>
      </w:r>
    </w:p>
    <w:p>
      <w:pPr>
        <w:pStyle w:val="ListBullet"/>
        <w:spacing w:after="40"/>
      </w:pPr>
      <w:r>
        <w:t>Magnitude band distribution</w:t>
      </w:r>
    </w:p>
    <w:p>
      <w:pPr>
        <w:pStyle w:val="ListBullet"/>
        <w:spacing w:after="40"/>
      </w:pPr>
      <w:r>
        <w:t>Number of tsunami-flagged events</w:t>
      </w:r>
    </w:p>
    <w:p>
      <w:pPr>
        <w:pStyle w:val="ListBullet"/>
        <w:spacing w:after="40"/>
      </w:pPr>
      <w:r>
        <w:t>Top 10 strongest events in the selected period</w:t>
      </w:r>
    </w:p>
    <w:p>
      <w:pPr>
        <w:pStyle w:val="Heading1"/>
        <w:spacing w:before="160" w:after="80"/>
      </w:pPr>
      <w:r>
        <w:t>12. Suggested Local Tech Stack</w:t>
      </w:r>
    </w:p>
    <w:p>
      <w:pPr>
        <w:pStyle w:val="ListBullet"/>
        <w:spacing w:after="40"/>
      </w:pPr>
      <w:r>
        <w:t>Python for orchestration and API ingestion</w:t>
      </w:r>
    </w:p>
    <w:p>
      <w:pPr>
        <w:pStyle w:val="ListBullet"/>
        <w:spacing w:after="40"/>
      </w:pPr>
      <w:r>
        <w:t>requests for HTTP extraction</w:t>
      </w:r>
    </w:p>
    <w:p>
      <w:pPr>
        <w:pStyle w:val="ListBullet"/>
        <w:spacing w:after="40"/>
      </w:pPr>
      <w:r>
        <w:t>pandas for Silver and Gold transformations</w:t>
      </w:r>
    </w:p>
    <w:p>
      <w:pPr>
        <w:pStyle w:val="ListBullet"/>
        <w:spacing w:after="40"/>
      </w:pPr>
      <w:r>
        <w:t>pyarrow for Parquet output</w:t>
      </w:r>
    </w:p>
    <w:p>
      <w:pPr>
        <w:pStyle w:val="ListBullet"/>
        <w:spacing w:after="40"/>
      </w:pPr>
      <w:r>
        <w:t>yaml or json config file for parameter management</w:t>
      </w:r>
    </w:p>
    <w:p>
      <w:pPr>
        <w:pStyle w:val="ListBullet"/>
        <w:spacing w:after="40"/>
      </w:pPr>
      <w:r>
        <w:t>logging for execution logs</w:t>
      </w:r>
    </w:p>
    <w:p>
      <w:pPr>
        <w:pStyle w:val="ListBullet"/>
        <w:spacing w:after="40"/>
      </w:pPr>
      <w:r>
        <w:t>Jupyter or Streamlit for final analysis</w:t>
      </w:r>
    </w:p>
    <w:p>
      <w:pPr>
        <w:spacing w:after="80"/>
      </w:pPr>
      <w:r>
        <w:t>For a more advanced version, students can replace Pandas with PySpark, add Airflow for orchestration, and add DuckDB or PostgreSQL for Gold storage.</w:t>
      </w:r>
    </w:p>
    <w:p>
      <w:pPr>
        <w:pStyle w:val="Heading1"/>
        <w:spacing w:before="160" w:after="80"/>
      </w:pPr>
      <w:r>
        <w:t>13. Stretch Enhancements</w:t>
      </w:r>
    </w:p>
    <w:p>
      <w:pPr>
        <w:pStyle w:val="ListBullet"/>
        <w:spacing w:after="40"/>
      </w:pPr>
      <w:r>
        <w:t>Incremental extraction based on event update time or extraction window</w:t>
      </w:r>
    </w:p>
    <w:p>
      <w:pPr>
        <w:pStyle w:val="ListBullet"/>
        <w:spacing w:after="40"/>
      </w:pPr>
      <w:r>
        <w:t>Backfill support for historical date ranges</w:t>
      </w:r>
    </w:p>
    <w:p>
      <w:pPr>
        <w:pStyle w:val="ListBullet"/>
        <w:spacing w:after="40"/>
      </w:pPr>
      <w:r>
        <w:t>Geographic filters by bounding box or country-specific region logic</w:t>
      </w:r>
    </w:p>
    <w:p>
      <w:pPr>
        <w:pStyle w:val="ListBullet"/>
        <w:spacing w:after="40"/>
      </w:pPr>
      <w:r>
        <w:t>Alerting when magnitude exceeds a threshold</w:t>
      </w:r>
    </w:p>
    <w:p>
      <w:pPr>
        <w:pStyle w:val="ListBullet"/>
        <w:spacing w:after="40"/>
      </w:pPr>
      <w:r>
        <w:t>Data quality reporting dashboard</w:t>
      </w:r>
    </w:p>
    <w:p>
      <w:pPr>
        <w:pStyle w:val="ListBullet"/>
        <w:spacing w:after="40"/>
      </w:pPr>
      <w:r>
        <w:t>Unit tests for transformation functions</w:t>
      </w:r>
    </w:p>
    <w:p>
      <w:pPr>
        <w:pStyle w:val="ListBullet"/>
        <w:spacing w:after="40"/>
      </w:pPr>
      <w:r>
        <w:t>Containerization with Docker</w:t>
      </w:r>
    </w:p>
    <w:p>
      <w:pPr>
        <w:pStyle w:val="Heading1"/>
        <w:spacing w:before="160" w:after="80"/>
      </w:pPr>
      <w:r>
        <w:t>14. Project Deliverables</w:t>
      </w:r>
    </w:p>
    <w:p>
      <w:pPr>
        <w:pStyle w:val="ListBullet"/>
        <w:spacing w:after="40"/>
      </w:pPr>
      <w:r>
        <w:t>Architecture diagram showing Bronze, Silver, and Gold flow</w:t>
      </w:r>
    </w:p>
    <w:p>
      <w:pPr>
        <w:pStyle w:val="ListBullet"/>
        <w:spacing w:after="40"/>
      </w:pPr>
      <w:r>
        <w:t>README with source API details and execution steps</w:t>
      </w:r>
    </w:p>
    <w:p>
      <w:pPr>
        <w:pStyle w:val="ListBullet"/>
        <w:spacing w:after="40"/>
      </w:pPr>
      <w:r>
        <w:t>Config file for feed selection and extraction parameters</w:t>
      </w:r>
    </w:p>
    <w:p>
      <w:pPr>
        <w:pStyle w:val="ListBullet"/>
        <w:spacing w:after="40"/>
      </w:pPr>
      <w:r>
        <w:t>Extraction script with logging and error handling</w:t>
      </w:r>
    </w:p>
    <w:p>
      <w:pPr>
        <w:pStyle w:val="ListBullet"/>
        <w:spacing w:after="40"/>
      </w:pPr>
      <w:r>
        <w:t>Silver transformation script and data quality checks</w:t>
      </w:r>
    </w:p>
    <w:p>
      <w:pPr>
        <w:pStyle w:val="ListBullet"/>
        <w:spacing w:after="40"/>
      </w:pPr>
      <w:r>
        <w:t>Gold marts with sample outputs</w:t>
      </w:r>
    </w:p>
    <w:p>
      <w:pPr>
        <w:pStyle w:val="ListBullet"/>
        <w:spacing w:after="40"/>
      </w:pPr>
      <w:r>
        <w:t>Notebook or dashboard with charts and explanation</w:t>
      </w:r>
    </w:p>
    <w:p>
      <w:pPr>
        <w:pStyle w:val="Heading1"/>
        <w:spacing w:before="160" w:after="80"/>
      </w:pPr>
      <w:r>
        <w:t>15. Resume and Viva Value</w:t>
      </w:r>
    </w:p>
    <w:p>
      <w:pPr>
        <w:spacing w:after="80"/>
      </w:pPr>
      <w:r>
        <w:t>This project is strong for interviews because it demonstrates API ingestion, semi-structured JSON handling, event-data modeling, time-series aggregation, and quality-focused medallion design.</w:t>
      </w:r>
    </w:p>
    <w:p>
      <w:pPr>
        <w:pStyle w:val="ListBullet"/>
        <w:spacing w:after="40"/>
      </w:pPr>
      <w:r>
        <w:t>Resume statement example: Built a local medallion-architecture pipeline that ingested USGS earthquake GeoJSON feeds into Bronze raw storage, transformed nested event data into Silver Parquet tables, and published Gold KPI marts for seismic activity analytics using Python and Pandas.</w:t>
      </w:r>
    </w:p>
    <w:p>
      <w:pPr>
        <w:pStyle w:val="ListBullet"/>
        <w:spacing w:after="40"/>
      </w:pPr>
      <w:r>
        <w:t>Possible viva question: Why should raw API payloads be preserved in Bronze instead of directly transforming them?</w:t>
      </w:r>
    </w:p>
    <w:p>
      <w:pPr>
        <w:pStyle w:val="ListBullet"/>
        <w:spacing w:after="40"/>
      </w:pPr>
      <w:r>
        <w:t>Possible viva question: How would you prevent duplicate events during repeated extractions?</w:t>
      </w:r>
    </w:p>
    <w:p>
      <w:pPr>
        <w:pStyle w:val="ListBullet"/>
        <w:spacing w:after="40"/>
      </w:pPr>
      <w:r>
        <w:t>Possible viva question: Why is event_id the preferred business key in Silver?</w:t>
      </w:r>
    </w:p>
    <w:p>
      <w:pPr>
        <w:pStyle w:val="ListBullet"/>
        <w:spacing w:after="40"/>
      </w:pPr>
      <w:r>
        <w:t>Possible viva question: What is the benefit of deriving event_date and magnitude bands in the curated layers?</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90" w:type="dxa"/>
              <w:start w:w="90" w:type="dxa"/>
              <w:bottom w:w="90" w:type="dxa"/>
              <w:end w:w="90" w:type="dxa"/>
            </w:tcMar>
          </w:tcPr>
          <w:p>
            <w:pPr>
              <w:jc w:val="center"/>
            </w:pPr>
            <w:r>
              <w:rPr>
                <w:b/>
              </w:rPr>
              <w:t>Folder / File</w:t>
            </w:r>
          </w:p>
        </w:tc>
        <w:tc>
          <w:tcPr>
            <w:tcW w:type="dxa" w:w="4968"/>
            <w:shd w:fill="D9EAF7"/>
            <w:tcMar>
              <w:top w:w="90" w:type="dxa"/>
              <w:start w:w="90" w:type="dxa"/>
              <w:bottom w:w="90" w:type="dxa"/>
              <w:end w:w="90" w:type="dxa"/>
            </w:tcMar>
          </w:tcPr>
          <w:p>
            <w:pPr>
              <w:jc w:val="center"/>
            </w:pPr>
            <w:r>
              <w:rPr>
                <w:b/>
              </w:rPr>
              <w:t>Purpose</w:t>
            </w:r>
          </w:p>
        </w:tc>
      </w:tr>
      <w:tr>
        <w:tc>
          <w:tcPr>
            <w:tcW w:type="dxa" w:w="4968"/>
            <w:tcMar>
              <w:top w:w="90" w:type="dxa"/>
              <w:start w:w="90" w:type="dxa"/>
              <w:bottom w:w="90" w:type="dxa"/>
              <w:end w:w="90" w:type="dxa"/>
            </w:tcMar>
            <w:vAlign w:val="center"/>
          </w:tcPr>
          <w:p>
            <w:r>
              <w:t>data/bronze/usgs_earthquakes/</w:t>
            </w:r>
          </w:p>
        </w:tc>
        <w:tc>
          <w:tcPr>
            <w:tcW w:type="dxa" w:w="4968"/>
            <w:tcMar>
              <w:top w:w="90" w:type="dxa"/>
              <w:start w:w="90" w:type="dxa"/>
              <w:bottom w:w="90" w:type="dxa"/>
              <w:end w:w="90" w:type="dxa"/>
            </w:tcMar>
            <w:vAlign w:val="center"/>
          </w:tcPr>
          <w:p>
            <w:r>
              <w:t>Raw JSON payloads exactly as received from the API</w:t>
            </w:r>
          </w:p>
        </w:tc>
      </w:tr>
      <w:tr>
        <w:tc>
          <w:tcPr>
            <w:tcW w:type="dxa" w:w="4968"/>
            <w:tcMar>
              <w:top w:w="90" w:type="dxa"/>
              <w:start w:w="90" w:type="dxa"/>
              <w:bottom w:w="90" w:type="dxa"/>
              <w:end w:w="90" w:type="dxa"/>
            </w:tcMar>
            <w:vAlign w:val="center"/>
          </w:tcPr>
          <w:p>
            <w:r>
              <w:t>data/silver/</w:t>
            </w:r>
          </w:p>
        </w:tc>
        <w:tc>
          <w:tcPr>
            <w:tcW w:type="dxa" w:w="4968"/>
            <w:tcMar>
              <w:top w:w="90" w:type="dxa"/>
              <w:start w:w="90" w:type="dxa"/>
              <w:bottom w:w="90" w:type="dxa"/>
              <w:end w:w="90" w:type="dxa"/>
            </w:tcMar>
            <w:vAlign w:val="center"/>
          </w:tcPr>
          <w:p>
            <w:r>
              <w:t>Curated structured Parquet files with one row per event</w:t>
            </w:r>
          </w:p>
        </w:tc>
      </w:tr>
      <w:tr>
        <w:tc>
          <w:tcPr>
            <w:tcW w:type="dxa" w:w="4968"/>
            <w:tcMar>
              <w:top w:w="90" w:type="dxa"/>
              <w:start w:w="90" w:type="dxa"/>
              <w:bottom w:w="90" w:type="dxa"/>
              <w:end w:w="90" w:type="dxa"/>
            </w:tcMar>
            <w:vAlign w:val="center"/>
          </w:tcPr>
          <w:p>
            <w:r>
              <w:t>data/gold/</w:t>
            </w:r>
          </w:p>
        </w:tc>
        <w:tc>
          <w:tcPr>
            <w:tcW w:type="dxa" w:w="4968"/>
            <w:tcMar>
              <w:top w:w="90" w:type="dxa"/>
              <w:start w:w="90" w:type="dxa"/>
              <w:bottom w:w="90" w:type="dxa"/>
              <w:end w:w="90" w:type="dxa"/>
            </w:tcMar>
            <w:vAlign w:val="center"/>
          </w:tcPr>
          <w:p>
            <w:r>
              <w:t>Business-ready daily, regional, and magnitude summary marts</w:t>
            </w:r>
          </w:p>
        </w:tc>
      </w:tr>
      <w:tr>
        <w:tc>
          <w:tcPr>
            <w:tcW w:type="dxa" w:w="4968"/>
            <w:tcMar>
              <w:top w:w="90" w:type="dxa"/>
              <w:start w:w="90" w:type="dxa"/>
              <w:bottom w:w="90" w:type="dxa"/>
              <w:end w:w="90" w:type="dxa"/>
            </w:tcMar>
            <w:vAlign w:val="center"/>
          </w:tcPr>
          <w:p>
            <w:r>
              <w:t>data/logs/</w:t>
            </w:r>
          </w:p>
        </w:tc>
        <w:tc>
          <w:tcPr>
            <w:tcW w:type="dxa" w:w="4968"/>
            <w:tcMar>
              <w:top w:w="90" w:type="dxa"/>
              <w:start w:w="90" w:type="dxa"/>
              <w:bottom w:w="90" w:type="dxa"/>
              <w:end w:w="90" w:type="dxa"/>
            </w:tcMar>
            <w:vAlign w:val="center"/>
          </w:tcPr>
          <w:p>
            <w:r>
              <w:t>Execution logs, validation logs, and exception files</w:t>
            </w:r>
          </w:p>
        </w:tc>
      </w:tr>
      <w:tr>
        <w:tc>
          <w:tcPr>
            <w:tcW w:type="dxa" w:w="4968"/>
            <w:tcMar>
              <w:top w:w="90" w:type="dxa"/>
              <w:start w:w="90" w:type="dxa"/>
              <w:bottom w:w="90" w:type="dxa"/>
              <w:end w:w="90" w:type="dxa"/>
            </w:tcMar>
            <w:vAlign w:val="center"/>
          </w:tcPr>
          <w:p>
            <w:r>
              <w:t>src/extract/</w:t>
            </w:r>
          </w:p>
        </w:tc>
        <w:tc>
          <w:tcPr>
            <w:tcW w:type="dxa" w:w="4968"/>
            <w:tcMar>
              <w:top w:w="90" w:type="dxa"/>
              <w:start w:w="90" w:type="dxa"/>
              <w:bottom w:w="90" w:type="dxa"/>
              <w:end w:w="90" w:type="dxa"/>
            </w:tcMar>
            <w:vAlign w:val="center"/>
          </w:tcPr>
          <w:p>
            <w:r>
              <w:t>API calling logic and request utilities</w:t>
            </w:r>
          </w:p>
        </w:tc>
      </w:tr>
      <w:tr>
        <w:tc>
          <w:tcPr>
            <w:tcW w:type="dxa" w:w="4968"/>
            <w:tcMar>
              <w:top w:w="90" w:type="dxa"/>
              <w:start w:w="90" w:type="dxa"/>
              <w:bottom w:w="90" w:type="dxa"/>
              <w:end w:w="90" w:type="dxa"/>
            </w:tcMar>
            <w:vAlign w:val="center"/>
          </w:tcPr>
          <w:p>
            <w:r>
              <w:t>src/transform/</w:t>
            </w:r>
          </w:p>
        </w:tc>
        <w:tc>
          <w:tcPr>
            <w:tcW w:type="dxa" w:w="4968"/>
            <w:tcMar>
              <w:top w:w="90" w:type="dxa"/>
              <w:start w:w="90" w:type="dxa"/>
              <w:bottom w:w="90" w:type="dxa"/>
              <w:end w:w="90" w:type="dxa"/>
            </w:tcMar>
            <w:vAlign w:val="center"/>
          </w:tcPr>
          <w:p>
            <w:r>
              <w:t>Bronze-to-Silver and Silver-to-Gold transformation logic</w:t>
            </w:r>
          </w:p>
        </w:tc>
      </w:tr>
      <w:tr>
        <w:tc>
          <w:tcPr>
            <w:tcW w:type="dxa" w:w="4968"/>
            <w:tcMar>
              <w:top w:w="90" w:type="dxa"/>
              <w:start w:w="90" w:type="dxa"/>
              <w:bottom w:w="90" w:type="dxa"/>
              <w:end w:w="90" w:type="dxa"/>
            </w:tcMar>
            <w:vAlign w:val="center"/>
          </w:tcPr>
          <w:p>
            <w:r>
              <w:t>config/config.yaml</w:t>
            </w:r>
          </w:p>
        </w:tc>
        <w:tc>
          <w:tcPr>
            <w:tcW w:type="dxa" w:w="4968"/>
            <w:tcMar>
              <w:top w:w="90" w:type="dxa"/>
              <w:start w:w="90" w:type="dxa"/>
              <w:bottom w:w="90" w:type="dxa"/>
              <w:end w:w="90" w:type="dxa"/>
            </w:tcMar>
            <w:vAlign w:val="center"/>
          </w:tcPr>
          <w:p>
            <w:r>
              <w:t>Feed names, URLs, extraction window, output paths</w:t>
            </w:r>
          </w:p>
        </w:tc>
      </w:tr>
    </w:tbl>
    <w:p>
      <w:r>
        <w:rPr>
          <w:rFonts w:ascii="Courier New" w:hAnsi="Courier New"/>
          <w:sz w:val="18"/>
        </w:rPr>
        <w:t>data/bronze/usgs_earthquakes/2026-04-08/all_day/usgs_all_day_20260408T083000Z.json</w:t>
      </w:r>
    </w:p>
    <w:p>
      <w:r>
        <w:rPr>
          <w:rFonts w:ascii="Courier New" w:hAnsi="Courier New"/>
          <w:sz w:val="18"/>
        </w:rPr>
        <w:t>data/bronze/usgs_earthquakes/2026-04-08/query/usgs_query_20260408T090000Z.json</w:t>
      </w:r>
    </w:p>
    <w:p>
      <w:pPr>
        <w:pStyle w:val="Heading1"/>
      </w:pPr>
      <w:r>
        <w:t>16. Data Quality Rule Table</w:t>
      </w:r>
    </w:p>
    <w:p>
      <w:r>
        <w:t>Below is a practical rule set that students can implement in code and log in a validation report.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90" w:type="dxa"/>
              <w:start w:w="90" w:type="dxa"/>
              <w:bottom w:w="90" w:type="dxa"/>
              <w:end w:w="90" w:type="dxa"/>
            </w:tcMar>
          </w:tcPr>
          <w:p>
            <w:pPr>
              <w:spacing w:after="0" w:line="240" w:lineRule="auto"/>
              <w:jc w:val="center"/>
            </w:pPr>
            <w:r>
              <w:rPr>
                <w:b/>
                <w:sz w:val="19"/>
              </w:rPr>
              <w:t>Rule</w:t>
            </w:r>
          </w:p>
        </w:tc>
        <w:tc>
          <w:tcPr>
            <w:tcW w:type="dxa" w:w="3312"/>
            <w:shd w:fill="D9EAF7"/>
            <w:tcMar>
              <w:top w:w="90" w:type="dxa"/>
              <w:start w:w="90" w:type="dxa"/>
              <w:bottom w:w="90" w:type="dxa"/>
              <w:end w:w="90" w:type="dxa"/>
            </w:tcMar>
          </w:tcPr>
          <w:p>
            <w:pPr>
              <w:spacing w:after="0" w:line="240" w:lineRule="auto"/>
              <w:jc w:val="center"/>
            </w:pPr>
            <w:r>
              <w:rPr>
                <w:b/>
                <w:sz w:val="19"/>
              </w:rPr>
              <w:t>Description</w:t>
            </w:r>
          </w:p>
        </w:tc>
        <w:tc>
          <w:tcPr>
            <w:tcW w:type="dxa" w:w="3312"/>
            <w:shd w:fill="D9EAF7"/>
            <w:tcMar>
              <w:top w:w="90" w:type="dxa"/>
              <w:start w:w="90" w:type="dxa"/>
              <w:bottom w:w="90" w:type="dxa"/>
              <w:end w:w="90" w:type="dxa"/>
            </w:tcMar>
          </w:tcPr>
          <w:p>
            <w:pPr>
              <w:spacing w:after="0" w:line="240" w:lineRule="auto"/>
              <w:jc w:val="center"/>
            </w:pPr>
            <w:r>
              <w:rPr>
                <w:b/>
                <w:sz w:val="19"/>
              </w:rPr>
              <w:t>Why It Matters</w:t>
            </w:r>
          </w:p>
        </w:tc>
      </w:tr>
      <w:tr>
        <w:tc>
          <w:tcPr>
            <w:tcW w:type="dxa" w:w="3312"/>
            <w:tcMar>
              <w:top w:w="90" w:type="dxa"/>
              <w:start w:w="90" w:type="dxa"/>
              <w:bottom w:w="90" w:type="dxa"/>
              <w:end w:w="90" w:type="dxa"/>
            </w:tcMar>
            <w:vAlign w:val="center"/>
          </w:tcPr>
          <w:p>
            <w:pPr>
              <w:spacing w:after="0" w:line="240" w:lineRule="auto"/>
            </w:pPr>
            <w:r>
              <w:rPr>
                <w:sz w:val="19"/>
              </w:rPr>
              <w:t>Primary key check</w:t>
            </w:r>
          </w:p>
        </w:tc>
        <w:tc>
          <w:tcPr>
            <w:tcW w:type="dxa" w:w="3312"/>
            <w:tcMar>
              <w:top w:w="90" w:type="dxa"/>
              <w:start w:w="90" w:type="dxa"/>
              <w:bottom w:w="90" w:type="dxa"/>
              <w:end w:w="90" w:type="dxa"/>
            </w:tcMar>
            <w:vAlign w:val="center"/>
          </w:tcPr>
          <w:p>
            <w:pPr>
              <w:spacing w:after="0" w:line="240" w:lineRule="auto"/>
            </w:pPr>
            <w:r>
              <w:rPr>
                <w:sz w:val="19"/>
              </w:rPr>
              <w:t>event_id must be present and unique in Silver.</w:t>
            </w:r>
          </w:p>
        </w:tc>
        <w:tc>
          <w:tcPr>
            <w:tcW w:type="dxa" w:w="3312"/>
            <w:tcMar>
              <w:top w:w="90" w:type="dxa"/>
              <w:start w:w="90" w:type="dxa"/>
              <w:bottom w:w="90" w:type="dxa"/>
              <w:end w:w="90" w:type="dxa"/>
            </w:tcMar>
            <w:vAlign w:val="center"/>
          </w:tcPr>
          <w:p>
            <w:pPr>
              <w:spacing w:after="0" w:line="240" w:lineRule="auto"/>
            </w:pPr>
            <w:r>
              <w:rPr>
                <w:sz w:val="19"/>
              </w:rPr>
              <w:t>Prevents duplicate event reporting.</w:t>
            </w:r>
          </w:p>
        </w:tc>
      </w:tr>
      <w:tr>
        <w:tc>
          <w:tcPr>
            <w:tcW w:type="dxa" w:w="3312"/>
            <w:tcMar>
              <w:top w:w="90" w:type="dxa"/>
              <w:start w:w="90" w:type="dxa"/>
              <w:bottom w:w="90" w:type="dxa"/>
              <w:end w:w="90" w:type="dxa"/>
            </w:tcMar>
            <w:vAlign w:val="center"/>
          </w:tcPr>
          <w:p>
            <w:pPr>
              <w:spacing w:after="0" w:line="240" w:lineRule="auto"/>
            </w:pPr>
            <w:r>
              <w:rPr>
                <w:sz w:val="19"/>
              </w:rPr>
              <w:t>Timestamp check</w:t>
            </w:r>
          </w:p>
        </w:tc>
        <w:tc>
          <w:tcPr>
            <w:tcW w:type="dxa" w:w="3312"/>
            <w:tcMar>
              <w:top w:w="90" w:type="dxa"/>
              <w:start w:w="90" w:type="dxa"/>
              <w:bottom w:w="90" w:type="dxa"/>
              <w:end w:w="90" w:type="dxa"/>
            </w:tcMar>
            <w:vAlign w:val="center"/>
          </w:tcPr>
          <w:p>
            <w:pPr>
              <w:spacing w:after="0" w:line="240" w:lineRule="auto"/>
            </w:pPr>
            <w:r>
              <w:rPr>
                <w:sz w:val="19"/>
              </w:rPr>
              <w:t>event_time_utc must parse correctly and not be null.</w:t>
            </w:r>
          </w:p>
        </w:tc>
        <w:tc>
          <w:tcPr>
            <w:tcW w:type="dxa" w:w="3312"/>
            <w:tcMar>
              <w:top w:w="90" w:type="dxa"/>
              <w:start w:w="90" w:type="dxa"/>
              <w:bottom w:w="90" w:type="dxa"/>
              <w:end w:w="90" w:type="dxa"/>
            </w:tcMar>
            <w:vAlign w:val="center"/>
          </w:tcPr>
          <w:p>
            <w:pPr>
              <w:spacing w:after="0" w:line="240" w:lineRule="auto"/>
            </w:pPr>
            <w:r>
              <w:rPr>
                <w:sz w:val="19"/>
              </w:rPr>
              <w:t>Supports daily and hourly analytics.</w:t>
            </w:r>
          </w:p>
        </w:tc>
      </w:tr>
      <w:tr>
        <w:tc>
          <w:tcPr>
            <w:tcW w:type="dxa" w:w="3312"/>
            <w:tcMar>
              <w:top w:w="90" w:type="dxa"/>
              <w:start w:w="90" w:type="dxa"/>
              <w:bottom w:w="90" w:type="dxa"/>
              <w:end w:w="90" w:type="dxa"/>
            </w:tcMar>
            <w:vAlign w:val="center"/>
          </w:tcPr>
          <w:p>
            <w:pPr>
              <w:spacing w:after="0" w:line="240" w:lineRule="auto"/>
            </w:pPr>
            <w:r>
              <w:rPr>
                <w:sz w:val="19"/>
              </w:rPr>
              <w:t>Coordinate check</w:t>
            </w:r>
          </w:p>
        </w:tc>
        <w:tc>
          <w:tcPr>
            <w:tcW w:type="dxa" w:w="3312"/>
            <w:tcMar>
              <w:top w:w="90" w:type="dxa"/>
              <w:start w:w="90" w:type="dxa"/>
              <w:bottom w:w="90" w:type="dxa"/>
              <w:end w:w="90" w:type="dxa"/>
            </w:tcMar>
            <w:vAlign w:val="center"/>
          </w:tcPr>
          <w:p>
            <w:pPr>
              <w:spacing w:after="0" w:line="240" w:lineRule="auto"/>
            </w:pPr>
            <w:r>
              <w:rPr>
                <w:sz w:val="19"/>
              </w:rPr>
              <w:t>latitude must be between -90 and 90; longitude between -180 and 180.</w:t>
            </w:r>
          </w:p>
        </w:tc>
        <w:tc>
          <w:tcPr>
            <w:tcW w:type="dxa" w:w="3312"/>
            <w:tcMar>
              <w:top w:w="90" w:type="dxa"/>
              <w:start w:w="90" w:type="dxa"/>
              <w:bottom w:w="90" w:type="dxa"/>
              <w:end w:w="90" w:type="dxa"/>
            </w:tcMar>
            <w:vAlign w:val="center"/>
          </w:tcPr>
          <w:p>
            <w:pPr>
              <w:spacing w:after="0" w:line="240" w:lineRule="auto"/>
            </w:pPr>
            <w:r>
              <w:rPr>
                <w:sz w:val="19"/>
              </w:rPr>
              <w:t>Filters malformed geometry values.</w:t>
            </w:r>
          </w:p>
        </w:tc>
      </w:tr>
      <w:tr>
        <w:tc>
          <w:tcPr>
            <w:tcW w:type="dxa" w:w="3312"/>
            <w:tcMar>
              <w:top w:w="90" w:type="dxa"/>
              <w:start w:w="90" w:type="dxa"/>
              <w:bottom w:w="90" w:type="dxa"/>
              <w:end w:w="90" w:type="dxa"/>
            </w:tcMar>
            <w:vAlign w:val="center"/>
          </w:tcPr>
          <w:p>
            <w:pPr>
              <w:spacing w:after="0" w:line="240" w:lineRule="auto"/>
            </w:pPr>
            <w:r>
              <w:rPr>
                <w:sz w:val="19"/>
              </w:rPr>
              <w:t>Magnitude check</w:t>
            </w:r>
          </w:p>
        </w:tc>
        <w:tc>
          <w:tcPr>
            <w:tcW w:type="dxa" w:w="3312"/>
            <w:tcMar>
              <w:top w:w="90" w:type="dxa"/>
              <w:start w:w="90" w:type="dxa"/>
              <w:bottom w:w="90" w:type="dxa"/>
              <w:end w:w="90" w:type="dxa"/>
            </w:tcMar>
            <w:vAlign w:val="center"/>
          </w:tcPr>
          <w:p>
            <w:pPr>
              <w:spacing w:after="0" w:line="240" w:lineRule="auto"/>
            </w:pPr>
            <w:r>
              <w:rPr>
                <w:sz w:val="19"/>
              </w:rPr>
              <w:t>magnitude should be numeric and within a reasonable range.</w:t>
            </w:r>
          </w:p>
        </w:tc>
        <w:tc>
          <w:tcPr>
            <w:tcW w:type="dxa" w:w="3312"/>
            <w:tcMar>
              <w:top w:w="90" w:type="dxa"/>
              <w:start w:w="90" w:type="dxa"/>
              <w:bottom w:w="90" w:type="dxa"/>
              <w:end w:w="90" w:type="dxa"/>
            </w:tcMar>
            <w:vAlign w:val="center"/>
          </w:tcPr>
          <w:p>
            <w:pPr>
              <w:spacing w:after="0" w:line="240" w:lineRule="auto"/>
            </w:pPr>
            <w:r>
              <w:rPr>
                <w:sz w:val="19"/>
              </w:rPr>
              <w:t>Protects Gold aggregates from bad data.</w:t>
            </w:r>
          </w:p>
        </w:tc>
      </w:tr>
      <w:tr>
        <w:tc>
          <w:tcPr>
            <w:tcW w:type="dxa" w:w="3312"/>
            <w:tcMar>
              <w:top w:w="90" w:type="dxa"/>
              <w:start w:w="90" w:type="dxa"/>
              <w:bottom w:w="90" w:type="dxa"/>
              <w:end w:w="90" w:type="dxa"/>
            </w:tcMar>
            <w:vAlign w:val="center"/>
          </w:tcPr>
          <w:p>
            <w:pPr>
              <w:spacing w:after="0" w:line="240" w:lineRule="auto"/>
            </w:pPr>
            <w:r>
              <w:rPr>
                <w:sz w:val="19"/>
              </w:rPr>
              <w:t>Depth check</w:t>
            </w:r>
          </w:p>
        </w:tc>
        <w:tc>
          <w:tcPr>
            <w:tcW w:type="dxa" w:w="3312"/>
            <w:tcMar>
              <w:top w:w="90" w:type="dxa"/>
              <w:start w:w="90" w:type="dxa"/>
              <w:bottom w:w="90" w:type="dxa"/>
              <w:end w:w="90" w:type="dxa"/>
            </w:tcMar>
            <w:vAlign w:val="center"/>
          </w:tcPr>
          <w:p>
            <w:pPr>
              <w:spacing w:after="0" w:line="240" w:lineRule="auto"/>
            </w:pPr>
            <w:r>
              <w:rPr>
                <w:sz w:val="19"/>
              </w:rPr>
              <w:t>depth_km should be numeric; nulls should be tracked explicitly.</w:t>
            </w:r>
          </w:p>
        </w:tc>
        <w:tc>
          <w:tcPr>
            <w:tcW w:type="dxa" w:w="3312"/>
            <w:tcMar>
              <w:top w:w="90" w:type="dxa"/>
              <w:start w:w="90" w:type="dxa"/>
              <w:bottom w:w="90" w:type="dxa"/>
              <w:end w:w="90" w:type="dxa"/>
            </w:tcMar>
            <w:vAlign w:val="center"/>
          </w:tcPr>
          <w:p>
            <w:pPr>
              <w:spacing w:after="0" w:line="240" w:lineRule="auto"/>
            </w:pPr>
            <w:r>
              <w:rPr>
                <w:sz w:val="19"/>
              </w:rPr>
              <w:t>Supports regional depth analysis.</w:t>
            </w:r>
          </w:p>
        </w:tc>
      </w:tr>
      <w:tr>
        <w:tc>
          <w:tcPr>
            <w:tcW w:type="dxa" w:w="3312"/>
            <w:tcMar>
              <w:top w:w="90" w:type="dxa"/>
              <w:start w:w="90" w:type="dxa"/>
              <w:bottom w:w="90" w:type="dxa"/>
              <w:end w:w="90" w:type="dxa"/>
            </w:tcMar>
            <w:vAlign w:val="center"/>
          </w:tcPr>
          <w:p>
            <w:pPr>
              <w:spacing w:after="0" w:line="240" w:lineRule="auto"/>
            </w:pPr>
            <w:r>
              <w:rPr>
                <w:sz w:val="19"/>
              </w:rPr>
              <w:t>Freshness check</w:t>
            </w:r>
          </w:p>
        </w:tc>
        <w:tc>
          <w:tcPr>
            <w:tcW w:type="dxa" w:w="3312"/>
            <w:tcMar>
              <w:top w:w="90" w:type="dxa"/>
              <w:start w:w="90" w:type="dxa"/>
              <w:bottom w:w="90" w:type="dxa"/>
              <w:end w:w="90" w:type="dxa"/>
            </w:tcMar>
            <w:vAlign w:val="center"/>
          </w:tcPr>
          <w:p>
            <w:pPr>
              <w:spacing w:after="0" w:line="240" w:lineRule="auto"/>
            </w:pPr>
            <w:r>
              <w:rPr>
                <w:sz w:val="19"/>
              </w:rPr>
              <w:t>Each scheduled run must produce a Bronze snapshot and Silver output.</w:t>
            </w:r>
          </w:p>
        </w:tc>
        <w:tc>
          <w:tcPr>
            <w:tcW w:type="dxa" w:w="3312"/>
            <w:tcMar>
              <w:top w:w="90" w:type="dxa"/>
              <w:start w:w="90" w:type="dxa"/>
              <w:bottom w:w="90" w:type="dxa"/>
              <w:end w:w="90" w:type="dxa"/>
            </w:tcMar>
            <w:vAlign w:val="center"/>
          </w:tcPr>
          <w:p>
            <w:pPr>
              <w:spacing w:after="0" w:line="240" w:lineRule="auto"/>
            </w:pPr>
            <w:r>
              <w:rPr>
                <w:sz w:val="19"/>
              </w:rPr>
              <w:t>Confirms pipeline completeness.</w:t>
            </w:r>
          </w:p>
        </w:tc>
      </w:tr>
    </w:tbl>
    <w:p>
      <w:pPr>
        <w:pStyle w:val="Heading1"/>
      </w:pPr>
      <w:r>
        <w:t>17. Suggested Silver Schema</w:t>
      </w:r>
    </w:p>
    <w:p>
      <w:r>
        <w:t>A core Silver event table can start with the following columns.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Mar>
              <w:top w:w="90" w:type="dxa"/>
              <w:start w:w="90" w:type="dxa"/>
              <w:bottom w:w="90" w:type="dxa"/>
              <w:end w:w="90" w:type="dxa"/>
            </w:tcMar>
          </w:tcPr>
          <w:p>
            <w:pPr>
              <w:spacing w:after="0" w:line="240" w:lineRule="auto"/>
              <w:jc w:val="center"/>
            </w:pPr>
            <w:r>
              <w:rPr>
                <w:b/>
                <w:sz w:val="19"/>
              </w:rPr>
              <w:t>Column</w:t>
            </w:r>
          </w:p>
        </w:tc>
        <w:tc>
          <w:tcPr>
            <w:tcW w:type="dxa" w:w="2484"/>
            <w:shd w:fill="D9EAF7"/>
            <w:tcMar>
              <w:top w:w="90" w:type="dxa"/>
              <w:start w:w="90" w:type="dxa"/>
              <w:bottom w:w="90" w:type="dxa"/>
              <w:end w:w="90" w:type="dxa"/>
            </w:tcMar>
          </w:tcPr>
          <w:p>
            <w:pPr>
              <w:spacing w:after="0" w:line="240" w:lineRule="auto"/>
              <w:jc w:val="center"/>
            </w:pPr>
            <w:r>
              <w:rPr>
                <w:b/>
                <w:sz w:val="19"/>
              </w:rPr>
              <w:t>Type</w:t>
            </w:r>
          </w:p>
        </w:tc>
        <w:tc>
          <w:tcPr>
            <w:tcW w:type="dxa" w:w="2484"/>
            <w:shd w:fill="D9EAF7"/>
            <w:tcMar>
              <w:top w:w="90" w:type="dxa"/>
              <w:start w:w="90" w:type="dxa"/>
              <w:bottom w:w="90" w:type="dxa"/>
              <w:end w:w="90" w:type="dxa"/>
            </w:tcMar>
          </w:tcPr>
          <w:p>
            <w:pPr>
              <w:spacing w:after="0" w:line="240" w:lineRule="auto"/>
              <w:jc w:val="center"/>
            </w:pPr>
            <w:r>
              <w:rPr>
                <w:b/>
                <w:sz w:val="19"/>
              </w:rPr>
              <w:t>Source</w:t>
            </w:r>
          </w:p>
        </w:tc>
        <w:tc>
          <w:tcPr>
            <w:tcW w:type="dxa" w:w="2484"/>
            <w:shd w:fill="D9EAF7"/>
            <w:tcMar>
              <w:top w:w="90" w:type="dxa"/>
              <w:start w:w="90" w:type="dxa"/>
              <w:bottom w:w="90" w:type="dxa"/>
              <w:end w:w="90" w:type="dxa"/>
            </w:tcMar>
          </w:tcPr>
          <w:p>
            <w:pPr>
              <w:spacing w:after="0" w:line="240" w:lineRule="auto"/>
              <w:jc w:val="center"/>
            </w:pPr>
            <w:r>
              <w:rPr>
                <w:b/>
                <w:sz w:val="19"/>
              </w:rPr>
              <w:t>Notes</w:t>
            </w:r>
          </w:p>
        </w:tc>
      </w:tr>
      <w:tr>
        <w:tc>
          <w:tcPr>
            <w:tcW w:type="dxa" w:w="2484"/>
            <w:tcMar>
              <w:top w:w="80" w:type="dxa"/>
              <w:start w:w="80" w:type="dxa"/>
              <w:bottom w:w="80" w:type="dxa"/>
              <w:end w:w="80" w:type="dxa"/>
            </w:tcMar>
            <w:vAlign w:val="center"/>
          </w:tcPr>
          <w:p>
            <w:pPr>
              <w:spacing w:after="0" w:line="240" w:lineRule="auto"/>
            </w:pPr>
            <w:r>
              <w:rPr>
                <w:sz w:val="19"/>
              </w:rPr>
              <w:t>event_id</w:t>
            </w:r>
          </w:p>
        </w:tc>
        <w:tc>
          <w:tcPr>
            <w:tcW w:type="dxa" w:w="2484"/>
            <w:tcMar>
              <w:top w:w="80" w:type="dxa"/>
              <w:start w:w="80" w:type="dxa"/>
              <w:bottom w:w="80" w:type="dxa"/>
              <w:end w:w="80" w:type="dxa"/>
            </w:tcMar>
            <w:vAlign w:val="center"/>
          </w:tcPr>
          <w:p>
            <w:pPr>
              <w:spacing w:after="0" w:line="240" w:lineRule="auto"/>
            </w:pPr>
            <w:r>
              <w:rPr>
                <w:sz w:val="19"/>
              </w:rPr>
              <w:t>string</w:t>
            </w:r>
          </w:p>
        </w:tc>
        <w:tc>
          <w:tcPr>
            <w:tcW w:type="dxa" w:w="2484"/>
            <w:tcMar>
              <w:top w:w="80" w:type="dxa"/>
              <w:start w:w="80" w:type="dxa"/>
              <w:bottom w:w="80" w:type="dxa"/>
              <w:end w:w="80" w:type="dxa"/>
            </w:tcMar>
            <w:vAlign w:val="center"/>
          </w:tcPr>
          <w:p>
            <w:pPr>
              <w:spacing w:after="0" w:line="240" w:lineRule="auto"/>
            </w:pPr>
            <w:r>
              <w:rPr>
                <w:sz w:val="19"/>
              </w:rPr>
              <w:t>id</w:t>
            </w:r>
          </w:p>
        </w:tc>
        <w:tc>
          <w:tcPr>
            <w:tcW w:type="dxa" w:w="2484"/>
            <w:tcMar>
              <w:top w:w="80" w:type="dxa"/>
              <w:start w:w="80" w:type="dxa"/>
              <w:bottom w:w="80" w:type="dxa"/>
              <w:end w:w="80" w:type="dxa"/>
            </w:tcMar>
            <w:vAlign w:val="center"/>
          </w:tcPr>
          <w:p>
            <w:pPr>
              <w:spacing w:after="0" w:line="240" w:lineRule="auto"/>
            </w:pPr>
            <w:r>
              <w:rPr>
                <w:sz w:val="19"/>
              </w:rPr>
              <w:t>Business key from USGS</w:t>
            </w:r>
          </w:p>
        </w:tc>
      </w:tr>
      <w:tr>
        <w:tc>
          <w:tcPr>
            <w:tcW w:type="dxa" w:w="2484"/>
            <w:tcMar>
              <w:top w:w="80" w:type="dxa"/>
              <w:start w:w="80" w:type="dxa"/>
              <w:bottom w:w="80" w:type="dxa"/>
              <w:end w:w="80" w:type="dxa"/>
            </w:tcMar>
            <w:vAlign w:val="center"/>
          </w:tcPr>
          <w:p>
            <w:pPr>
              <w:spacing w:after="0" w:line="240" w:lineRule="auto"/>
            </w:pPr>
            <w:r>
              <w:rPr>
                <w:sz w:val="19"/>
              </w:rPr>
              <w:t>event_time_utc</w:t>
            </w:r>
          </w:p>
        </w:tc>
        <w:tc>
          <w:tcPr>
            <w:tcW w:type="dxa" w:w="2484"/>
            <w:tcMar>
              <w:top w:w="80" w:type="dxa"/>
              <w:start w:w="80" w:type="dxa"/>
              <w:bottom w:w="80" w:type="dxa"/>
              <w:end w:w="80" w:type="dxa"/>
            </w:tcMar>
            <w:vAlign w:val="center"/>
          </w:tcPr>
          <w:p>
            <w:pPr>
              <w:spacing w:after="0" w:line="240" w:lineRule="auto"/>
            </w:pPr>
            <w:r>
              <w:rPr>
                <w:sz w:val="19"/>
              </w:rPr>
              <w:t>timestamp</w:t>
            </w:r>
          </w:p>
        </w:tc>
        <w:tc>
          <w:tcPr>
            <w:tcW w:type="dxa" w:w="2484"/>
            <w:tcMar>
              <w:top w:w="80" w:type="dxa"/>
              <w:start w:w="80" w:type="dxa"/>
              <w:bottom w:w="80" w:type="dxa"/>
              <w:end w:w="80" w:type="dxa"/>
            </w:tcMar>
            <w:vAlign w:val="center"/>
          </w:tcPr>
          <w:p>
            <w:pPr>
              <w:spacing w:after="0" w:line="240" w:lineRule="auto"/>
            </w:pPr>
            <w:r>
              <w:rPr>
                <w:sz w:val="19"/>
              </w:rPr>
              <w:t>properties.time</w:t>
            </w:r>
          </w:p>
        </w:tc>
        <w:tc>
          <w:tcPr>
            <w:tcW w:type="dxa" w:w="2484"/>
            <w:tcMar>
              <w:top w:w="80" w:type="dxa"/>
              <w:start w:w="80" w:type="dxa"/>
              <w:bottom w:w="80" w:type="dxa"/>
              <w:end w:w="80" w:type="dxa"/>
            </w:tcMar>
            <w:vAlign w:val="center"/>
          </w:tcPr>
          <w:p>
            <w:pPr>
              <w:spacing w:after="0" w:line="240" w:lineRule="auto"/>
            </w:pPr>
            <w:r>
              <w:rPr>
                <w:sz w:val="19"/>
              </w:rPr>
              <w:t>Convert from epoch milliseconds</w:t>
            </w:r>
          </w:p>
        </w:tc>
      </w:tr>
      <w:tr>
        <w:tc>
          <w:tcPr>
            <w:tcW w:type="dxa" w:w="2484"/>
            <w:tcMar>
              <w:top w:w="80" w:type="dxa"/>
              <w:start w:w="80" w:type="dxa"/>
              <w:bottom w:w="80" w:type="dxa"/>
              <w:end w:w="80" w:type="dxa"/>
            </w:tcMar>
            <w:vAlign w:val="center"/>
          </w:tcPr>
          <w:p>
            <w:pPr>
              <w:spacing w:after="0" w:line="240" w:lineRule="auto"/>
            </w:pPr>
            <w:r>
              <w:rPr>
                <w:sz w:val="19"/>
              </w:rPr>
              <w:t>updated_time_utc</w:t>
            </w:r>
          </w:p>
        </w:tc>
        <w:tc>
          <w:tcPr>
            <w:tcW w:type="dxa" w:w="2484"/>
            <w:tcMar>
              <w:top w:w="80" w:type="dxa"/>
              <w:start w:w="80" w:type="dxa"/>
              <w:bottom w:w="80" w:type="dxa"/>
              <w:end w:w="80" w:type="dxa"/>
            </w:tcMar>
            <w:vAlign w:val="center"/>
          </w:tcPr>
          <w:p>
            <w:pPr>
              <w:spacing w:after="0" w:line="240" w:lineRule="auto"/>
            </w:pPr>
            <w:r>
              <w:rPr>
                <w:sz w:val="19"/>
              </w:rPr>
              <w:t>timestamp</w:t>
            </w:r>
          </w:p>
        </w:tc>
        <w:tc>
          <w:tcPr>
            <w:tcW w:type="dxa" w:w="2484"/>
            <w:tcMar>
              <w:top w:w="80" w:type="dxa"/>
              <w:start w:w="80" w:type="dxa"/>
              <w:bottom w:w="80" w:type="dxa"/>
              <w:end w:w="80" w:type="dxa"/>
            </w:tcMar>
            <w:vAlign w:val="center"/>
          </w:tcPr>
          <w:p>
            <w:pPr>
              <w:spacing w:after="0" w:line="240" w:lineRule="auto"/>
            </w:pPr>
            <w:r>
              <w:rPr>
                <w:sz w:val="19"/>
              </w:rPr>
              <w:t>properties.updated</w:t>
            </w:r>
          </w:p>
        </w:tc>
        <w:tc>
          <w:tcPr>
            <w:tcW w:type="dxa" w:w="2484"/>
            <w:tcMar>
              <w:top w:w="80" w:type="dxa"/>
              <w:start w:w="80" w:type="dxa"/>
              <w:bottom w:w="80" w:type="dxa"/>
              <w:end w:w="80" w:type="dxa"/>
            </w:tcMar>
            <w:vAlign w:val="center"/>
          </w:tcPr>
          <w:p>
            <w:pPr>
              <w:spacing w:after="0" w:line="240" w:lineRule="auto"/>
            </w:pPr>
            <w:r>
              <w:rPr>
                <w:sz w:val="19"/>
              </w:rPr>
              <w:t>Convert from epoch milliseconds</w:t>
            </w:r>
          </w:p>
        </w:tc>
      </w:tr>
      <w:tr>
        <w:tc>
          <w:tcPr>
            <w:tcW w:type="dxa" w:w="2484"/>
            <w:tcMar>
              <w:top w:w="80" w:type="dxa"/>
              <w:start w:w="80" w:type="dxa"/>
              <w:bottom w:w="80" w:type="dxa"/>
              <w:end w:w="80" w:type="dxa"/>
            </w:tcMar>
            <w:vAlign w:val="center"/>
          </w:tcPr>
          <w:p>
            <w:pPr>
              <w:spacing w:after="0" w:line="240" w:lineRule="auto"/>
            </w:pPr>
            <w:r>
              <w:rPr>
                <w:sz w:val="19"/>
              </w:rPr>
              <w:t>magnitude</w:t>
            </w:r>
          </w:p>
        </w:tc>
        <w:tc>
          <w:tcPr>
            <w:tcW w:type="dxa" w:w="2484"/>
            <w:tcMar>
              <w:top w:w="80" w:type="dxa"/>
              <w:start w:w="80" w:type="dxa"/>
              <w:bottom w:w="80" w:type="dxa"/>
              <w:end w:w="80" w:type="dxa"/>
            </w:tcMar>
            <w:vAlign w:val="center"/>
          </w:tcPr>
          <w:p>
            <w:pPr>
              <w:spacing w:after="0" w:line="240" w:lineRule="auto"/>
            </w:pPr>
            <w:r>
              <w:rPr>
                <w:sz w:val="19"/>
              </w:rPr>
              <w:t>double</w:t>
            </w:r>
          </w:p>
        </w:tc>
        <w:tc>
          <w:tcPr>
            <w:tcW w:type="dxa" w:w="2484"/>
            <w:tcMar>
              <w:top w:w="80" w:type="dxa"/>
              <w:start w:w="80" w:type="dxa"/>
              <w:bottom w:w="80" w:type="dxa"/>
              <w:end w:w="80" w:type="dxa"/>
            </w:tcMar>
            <w:vAlign w:val="center"/>
          </w:tcPr>
          <w:p>
            <w:pPr>
              <w:spacing w:after="0" w:line="240" w:lineRule="auto"/>
            </w:pPr>
            <w:r>
              <w:rPr>
                <w:sz w:val="19"/>
              </w:rPr>
              <w:t>properties.mag</w:t>
            </w:r>
          </w:p>
        </w:tc>
        <w:tc>
          <w:tcPr>
            <w:tcW w:type="dxa" w:w="2484"/>
            <w:tcMar>
              <w:top w:w="80" w:type="dxa"/>
              <w:start w:w="80" w:type="dxa"/>
              <w:bottom w:w="80" w:type="dxa"/>
              <w:end w:w="80" w:type="dxa"/>
            </w:tcMar>
            <w:vAlign w:val="center"/>
          </w:tcPr>
          <w:p>
            <w:pPr>
              <w:spacing w:after="0" w:line="240" w:lineRule="auto"/>
            </w:pPr>
            <w:r>
              <w:rPr>
                <w:sz w:val="19"/>
              </w:rPr>
              <w:t>Can be null for some events</w:t>
            </w:r>
          </w:p>
        </w:tc>
      </w:tr>
      <w:tr>
        <w:tc>
          <w:tcPr>
            <w:tcW w:type="dxa" w:w="2484"/>
            <w:tcMar>
              <w:top w:w="80" w:type="dxa"/>
              <w:start w:w="80" w:type="dxa"/>
              <w:bottom w:w="80" w:type="dxa"/>
              <w:end w:w="80" w:type="dxa"/>
            </w:tcMar>
            <w:vAlign w:val="center"/>
          </w:tcPr>
          <w:p>
            <w:pPr>
              <w:spacing w:after="0" w:line="240" w:lineRule="auto"/>
            </w:pPr>
            <w:r>
              <w:rPr>
                <w:sz w:val="19"/>
              </w:rPr>
              <w:t>magnitude_type</w:t>
            </w:r>
          </w:p>
        </w:tc>
        <w:tc>
          <w:tcPr>
            <w:tcW w:type="dxa" w:w="2484"/>
            <w:tcMar>
              <w:top w:w="80" w:type="dxa"/>
              <w:start w:w="80" w:type="dxa"/>
              <w:bottom w:w="80" w:type="dxa"/>
              <w:end w:w="80" w:type="dxa"/>
            </w:tcMar>
            <w:vAlign w:val="center"/>
          </w:tcPr>
          <w:p>
            <w:pPr>
              <w:spacing w:after="0" w:line="240" w:lineRule="auto"/>
            </w:pPr>
            <w:r>
              <w:rPr>
                <w:sz w:val="19"/>
              </w:rPr>
              <w:t>string</w:t>
            </w:r>
          </w:p>
        </w:tc>
        <w:tc>
          <w:tcPr>
            <w:tcW w:type="dxa" w:w="2484"/>
            <w:tcMar>
              <w:top w:w="80" w:type="dxa"/>
              <w:start w:w="80" w:type="dxa"/>
              <w:bottom w:w="80" w:type="dxa"/>
              <w:end w:w="80" w:type="dxa"/>
            </w:tcMar>
            <w:vAlign w:val="center"/>
          </w:tcPr>
          <w:p>
            <w:pPr>
              <w:spacing w:after="0" w:line="240" w:lineRule="auto"/>
            </w:pPr>
            <w:r>
              <w:rPr>
                <w:sz w:val="19"/>
              </w:rPr>
              <w:t>properties.magType</w:t>
            </w:r>
          </w:p>
        </w:tc>
        <w:tc>
          <w:tcPr>
            <w:tcW w:type="dxa" w:w="2484"/>
            <w:tcMar>
              <w:top w:w="80" w:type="dxa"/>
              <w:start w:w="80" w:type="dxa"/>
              <w:bottom w:w="80" w:type="dxa"/>
              <w:end w:w="80" w:type="dxa"/>
            </w:tcMar>
            <w:vAlign w:val="center"/>
          </w:tcPr>
          <w:p>
            <w:pPr>
              <w:spacing w:after="0" w:line="240" w:lineRule="auto"/>
            </w:pPr>
            <w:r>
              <w:rPr>
                <w:sz w:val="19"/>
              </w:rPr>
              <w:t>Example: ml, mb, mw</w:t>
            </w:r>
          </w:p>
        </w:tc>
      </w:tr>
      <w:tr>
        <w:tc>
          <w:tcPr>
            <w:tcW w:type="dxa" w:w="2484"/>
            <w:tcMar>
              <w:top w:w="80" w:type="dxa"/>
              <w:start w:w="80" w:type="dxa"/>
              <w:bottom w:w="80" w:type="dxa"/>
              <w:end w:w="80" w:type="dxa"/>
            </w:tcMar>
            <w:vAlign w:val="center"/>
          </w:tcPr>
          <w:p>
            <w:pPr>
              <w:spacing w:after="0" w:line="240" w:lineRule="auto"/>
            </w:pPr>
            <w:r>
              <w:rPr>
                <w:sz w:val="19"/>
              </w:rPr>
              <w:t>place</w:t>
            </w:r>
          </w:p>
        </w:tc>
        <w:tc>
          <w:tcPr>
            <w:tcW w:type="dxa" w:w="2484"/>
            <w:tcMar>
              <w:top w:w="80" w:type="dxa"/>
              <w:start w:w="80" w:type="dxa"/>
              <w:bottom w:w="80" w:type="dxa"/>
              <w:end w:w="80" w:type="dxa"/>
            </w:tcMar>
            <w:vAlign w:val="center"/>
          </w:tcPr>
          <w:p>
            <w:pPr>
              <w:spacing w:after="0" w:line="240" w:lineRule="auto"/>
            </w:pPr>
            <w:r>
              <w:rPr>
                <w:sz w:val="19"/>
              </w:rPr>
              <w:t>string</w:t>
            </w:r>
          </w:p>
        </w:tc>
        <w:tc>
          <w:tcPr>
            <w:tcW w:type="dxa" w:w="2484"/>
            <w:tcMar>
              <w:top w:w="80" w:type="dxa"/>
              <w:start w:w="80" w:type="dxa"/>
              <w:bottom w:w="80" w:type="dxa"/>
              <w:end w:w="80" w:type="dxa"/>
            </w:tcMar>
            <w:vAlign w:val="center"/>
          </w:tcPr>
          <w:p>
            <w:pPr>
              <w:spacing w:after="0" w:line="240" w:lineRule="auto"/>
            </w:pPr>
            <w:r>
              <w:rPr>
                <w:sz w:val="19"/>
              </w:rPr>
              <w:t>properties.place</w:t>
            </w:r>
          </w:p>
        </w:tc>
        <w:tc>
          <w:tcPr>
            <w:tcW w:type="dxa" w:w="2484"/>
            <w:tcMar>
              <w:top w:w="80" w:type="dxa"/>
              <w:start w:w="80" w:type="dxa"/>
              <w:bottom w:w="80" w:type="dxa"/>
              <w:end w:w="80" w:type="dxa"/>
            </w:tcMar>
            <w:vAlign w:val="center"/>
          </w:tcPr>
          <w:p>
            <w:pPr>
              <w:spacing w:after="0" w:line="240" w:lineRule="auto"/>
            </w:pPr>
            <w:r>
              <w:rPr>
                <w:sz w:val="19"/>
              </w:rPr>
              <w:t>Human-readable location text</w:t>
            </w:r>
          </w:p>
        </w:tc>
      </w:tr>
      <w:tr>
        <w:tc>
          <w:tcPr>
            <w:tcW w:type="dxa" w:w="2484"/>
            <w:tcMar>
              <w:top w:w="80" w:type="dxa"/>
              <w:start w:w="80" w:type="dxa"/>
              <w:bottom w:w="80" w:type="dxa"/>
              <w:end w:w="80" w:type="dxa"/>
            </w:tcMar>
            <w:vAlign w:val="center"/>
          </w:tcPr>
          <w:p>
            <w:pPr>
              <w:spacing w:after="0" w:line="240" w:lineRule="auto"/>
            </w:pPr>
            <w:r>
              <w:rPr>
                <w:sz w:val="19"/>
              </w:rPr>
              <w:t>longitude</w:t>
            </w:r>
          </w:p>
        </w:tc>
        <w:tc>
          <w:tcPr>
            <w:tcW w:type="dxa" w:w="2484"/>
            <w:tcMar>
              <w:top w:w="80" w:type="dxa"/>
              <w:start w:w="80" w:type="dxa"/>
              <w:bottom w:w="80" w:type="dxa"/>
              <w:end w:w="80" w:type="dxa"/>
            </w:tcMar>
            <w:vAlign w:val="center"/>
          </w:tcPr>
          <w:p>
            <w:pPr>
              <w:spacing w:after="0" w:line="240" w:lineRule="auto"/>
            </w:pPr>
            <w:r>
              <w:rPr>
                <w:sz w:val="19"/>
              </w:rPr>
              <w:t>double</w:t>
            </w:r>
          </w:p>
        </w:tc>
        <w:tc>
          <w:tcPr>
            <w:tcW w:type="dxa" w:w="2484"/>
            <w:tcMar>
              <w:top w:w="80" w:type="dxa"/>
              <w:start w:w="80" w:type="dxa"/>
              <w:bottom w:w="80" w:type="dxa"/>
              <w:end w:w="80" w:type="dxa"/>
            </w:tcMar>
            <w:vAlign w:val="center"/>
          </w:tcPr>
          <w:p>
            <w:pPr>
              <w:spacing w:after="0" w:line="240" w:lineRule="auto"/>
            </w:pPr>
            <w:r>
              <w:rPr>
                <w:sz w:val="19"/>
              </w:rPr>
              <w:t>geometry.coordinates[0]</w:t>
            </w:r>
          </w:p>
        </w:tc>
        <w:tc>
          <w:tcPr>
            <w:tcW w:type="dxa" w:w="2484"/>
            <w:tcMar>
              <w:top w:w="80" w:type="dxa"/>
              <w:start w:w="80" w:type="dxa"/>
              <w:bottom w:w="80" w:type="dxa"/>
              <w:end w:w="80" w:type="dxa"/>
            </w:tcMar>
            <w:vAlign w:val="center"/>
          </w:tcPr>
          <w:p>
            <w:pPr>
              <w:spacing w:after="0" w:line="240" w:lineRule="auto"/>
            </w:pPr>
            <w:r>
              <w:rPr>
                <w:sz w:val="19"/>
              </w:rPr>
              <w:t>Flatten from GeoJSON</w:t>
            </w:r>
          </w:p>
        </w:tc>
      </w:tr>
      <w:tr>
        <w:tc>
          <w:tcPr>
            <w:tcW w:type="dxa" w:w="2484"/>
            <w:tcMar>
              <w:top w:w="80" w:type="dxa"/>
              <w:start w:w="80" w:type="dxa"/>
              <w:bottom w:w="80" w:type="dxa"/>
              <w:end w:w="80" w:type="dxa"/>
            </w:tcMar>
            <w:vAlign w:val="center"/>
          </w:tcPr>
          <w:p>
            <w:pPr>
              <w:spacing w:after="0" w:line="240" w:lineRule="auto"/>
            </w:pPr>
            <w:r>
              <w:rPr>
                <w:sz w:val="19"/>
              </w:rPr>
              <w:t>latitude</w:t>
            </w:r>
          </w:p>
        </w:tc>
        <w:tc>
          <w:tcPr>
            <w:tcW w:type="dxa" w:w="2484"/>
            <w:tcMar>
              <w:top w:w="80" w:type="dxa"/>
              <w:start w:w="80" w:type="dxa"/>
              <w:bottom w:w="80" w:type="dxa"/>
              <w:end w:w="80" w:type="dxa"/>
            </w:tcMar>
            <w:vAlign w:val="center"/>
          </w:tcPr>
          <w:p>
            <w:pPr>
              <w:spacing w:after="0" w:line="240" w:lineRule="auto"/>
            </w:pPr>
            <w:r>
              <w:rPr>
                <w:sz w:val="19"/>
              </w:rPr>
              <w:t>double</w:t>
            </w:r>
          </w:p>
        </w:tc>
        <w:tc>
          <w:tcPr>
            <w:tcW w:type="dxa" w:w="2484"/>
            <w:tcMar>
              <w:top w:w="80" w:type="dxa"/>
              <w:start w:w="80" w:type="dxa"/>
              <w:bottom w:w="80" w:type="dxa"/>
              <w:end w:w="80" w:type="dxa"/>
            </w:tcMar>
            <w:vAlign w:val="center"/>
          </w:tcPr>
          <w:p>
            <w:pPr>
              <w:spacing w:after="0" w:line="240" w:lineRule="auto"/>
            </w:pPr>
            <w:r>
              <w:rPr>
                <w:sz w:val="19"/>
              </w:rPr>
              <w:t>geometry.coordinates[1]</w:t>
            </w:r>
          </w:p>
        </w:tc>
        <w:tc>
          <w:tcPr>
            <w:tcW w:type="dxa" w:w="2484"/>
            <w:tcMar>
              <w:top w:w="80" w:type="dxa"/>
              <w:start w:w="80" w:type="dxa"/>
              <w:bottom w:w="80" w:type="dxa"/>
              <w:end w:w="80" w:type="dxa"/>
            </w:tcMar>
            <w:vAlign w:val="center"/>
          </w:tcPr>
          <w:p>
            <w:pPr>
              <w:spacing w:after="0" w:line="240" w:lineRule="auto"/>
            </w:pPr>
            <w:r>
              <w:rPr>
                <w:sz w:val="19"/>
              </w:rPr>
              <w:t>Flatten from GeoJSON</w:t>
            </w:r>
          </w:p>
        </w:tc>
      </w:tr>
      <w:tr>
        <w:tc>
          <w:tcPr>
            <w:tcW w:type="dxa" w:w="2484"/>
            <w:tcMar>
              <w:top w:w="80" w:type="dxa"/>
              <w:start w:w="80" w:type="dxa"/>
              <w:bottom w:w="80" w:type="dxa"/>
              <w:end w:w="80" w:type="dxa"/>
            </w:tcMar>
            <w:vAlign w:val="center"/>
          </w:tcPr>
          <w:p>
            <w:pPr>
              <w:spacing w:after="0" w:line="240" w:lineRule="auto"/>
            </w:pPr>
            <w:r>
              <w:rPr>
                <w:sz w:val="19"/>
              </w:rPr>
              <w:t>depth_km</w:t>
            </w:r>
          </w:p>
        </w:tc>
        <w:tc>
          <w:tcPr>
            <w:tcW w:type="dxa" w:w="2484"/>
            <w:tcMar>
              <w:top w:w="80" w:type="dxa"/>
              <w:start w:w="80" w:type="dxa"/>
              <w:bottom w:w="80" w:type="dxa"/>
              <w:end w:w="80" w:type="dxa"/>
            </w:tcMar>
            <w:vAlign w:val="center"/>
          </w:tcPr>
          <w:p>
            <w:pPr>
              <w:spacing w:after="0" w:line="240" w:lineRule="auto"/>
            </w:pPr>
            <w:r>
              <w:rPr>
                <w:sz w:val="19"/>
              </w:rPr>
              <w:t>double</w:t>
            </w:r>
          </w:p>
        </w:tc>
        <w:tc>
          <w:tcPr>
            <w:tcW w:type="dxa" w:w="2484"/>
            <w:tcMar>
              <w:top w:w="80" w:type="dxa"/>
              <w:start w:w="80" w:type="dxa"/>
              <w:bottom w:w="80" w:type="dxa"/>
              <w:end w:w="80" w:type="dxa"/>
            </w:tcMar>
            <w:vAlign w:val="center"/>
          </w:tcPr>
          <w:p>
            <w:pPr>
              <w:spacing w:after="0" w:line="240" w:lineRule="auto"/>
            </w:pPr>
            <w:r>
              <w:rPr>
                <w:sz w:val="19"/>
              </w:rPr>
              <w:t>geometry.coordinates[2]</w:t>
            </w:r>
          </w:p>
        </w:tc>
        <w:tc>
          <w:tcPr>
            <w:tcW w:type="dxa" w:w="2484"/>
            <w:tcMar>
              <w:top w:w="80" w:type="dxa"/>
              <w:start w:w="80" w:type="dxa"/>
              <w:bottom w:w="80" w:type="dxa"/>
              <w:end w:w="80" w:type="dxa"/>
            </w:tcMar>
            <w:vAlign w:val="center"/>
          </w:tcPr>
          <w:p>
            <w:pPr>
              <w:spacing w:after="0" w:line="240" w:lineRule="auto"/>
            </w:pPr>
            <w:r>
              <w:rPr>
                <w:sz w:val="19"/>
              </w:rPr>
              <w:t>Depth in kilometers</w:t>
            </w:r>
          </w:p>
        </w:tc>
      </w:tr>
      <w:tr>
        <w:tc>
          <w:tcPr>
            <w:tcW w:type="dxa" w:w="2484"/>
            <w:tcMar>
              <w:top w:w="80" w:type="dxa"/>
              <w:start w:w="80" w:type="dxa"/>
              <w:bottom w:w="80" w:type="dxa"/>
              <w:end w:w="80" w:type="dxa"/>
            </w:tcMar>
            <w:vAlign w:val="center"/>
          </w:tcPr>
          <w:p>
            <w:pPr>
              <w:spacing w:after="0" w:line="240" w:lineRule="auto"/>
            </w:pPr>
            <w:r>
              <w:rPr>
                <w:sz w:val="19"/>
              </w:rPr>
              <w:t>tsunami_flag</w:t>
            </w:r>
          </w:p>
        </w:tc>
        <w:tc>
          <w:tcPr>
            <w:tcW w:type="dxa" w:w="2484"/>
            <w:tcMar>
              <w:top w:w="80" w:type="dxa"/>
              <w:start w:w="80" w:type="dxa"/>
              <w:bottom w:w="80" w:type="dxa"/>
              <w:end w:w="80" w:type="dxa"/>
            </w:tcMar>
            <w:vAlign w:val="center"/>
          </w:tcPr>
          <w:p>
            <w:pPr>
              <w:spacing w:after="0" w:line="240" w:lineRule="auto"/>
            </w:pPr>
            <w:r>
              <w:rPr>
                <w:sz w:val="19"/>
              </w:rPr>
              <w:t>int</w:t>
            </w:r>
          </w:p>
        </w:tc>
        <w:tc>
          <w:tcPr>
            <w:tcW w:type="dxa" w:w="2484"/>
            <w:tcMar>
              <w:top w:w="80" w:type="dxa"/>
              <w:start w:w="80" w:type="dxa"/>
              <w:bottom w:w="80" w:type="dxa"/>
              <w:end w:w="80" w:type="dxa"/>
            </w:tcMar>
            <w:vAlign w:val="center"/>
          </w:tcPr>
          <w:p>
            <w:pPr>
              <w:spacing w:after="0" w:line="240" w:lineRule="auto"/>
            </w:pPr>
            <w:r>
              <w:rPr>
                <w:sz w:val="19"/>
              </w:rPr>
              <w:t>properties.tsunami</w:t>
            </w:r>
          </w:p>
        </w:tc>
        <w:tc>
          <w:tcPr>
            <w:tcW w:type="dxa" w:w="2484"/>
            <w:tcMar>
              <w:top w:w="80" w:type="dxa"/>
              <w:start w:w="80" w:type="dxa"/>
              <w:bottom w:w="80" w:type="dxa"/>
              <w:end w:w="80" w:type="dxa"/>
            </w:tcMar>
            <w:vAlign w:val="center"/>
          </w:tcPr>
          <w:p>
            <w:pPr>
              <w:spacing w:after="0" w:line="240" w:lineRule="auto"/>
            </w:pPr>
            <w:r>
              <w:rPr>
                <w:sz w:val="19"/>
              </w:rPr>
              <w:t>0 or 1</w:t>
            </w:r>
          </w:p>
        </w:tc>
      </w:tr>
      <w:tr>
        <w:tc>
          <w:tcPr>
            <w:tcW w:type="dxa" w:w="2484"/>
            <w:tcMar>
              <w:top w:w="80" w:type="dxa"/>
              <w:start w:w="80" w:type="dxa"/>
              <w:bottom w:w="80" w:type="dxa"/>
              <w:end w:w="80" w:type="dxa"/>
            </w:tcMar>
            <w:vAlign w:val="center"/>
          </w:tcPr>
          <w:p>
            <w:pPr>
              <w:spacing w:after="0" w:line="240" w:lineRule="auto"/>
            </w:pPr>
            <w:r>
              <w:rPr>
                <w:sz w:val="19"/>
              </w:rPr>
              <w:t>significance_score</w:t>
            </w:r>
          </w:p>
        </w:tc>
        <w:tc>
          <w:tcPr>
            <w:tcW w:type="dxa" w:w="2484"/>
            <w:tcMar>
              <w:top w:w="80" w:type="dxa"/>
              <w:start w:w="80" w:type="dxa"/>
              <w:bottom w:w="80" w:type="dxa"/>
              <w:end w:w="80" w:type="dxa"/>
            </w:tcMar>
            <w:vAlign w:val="center"/>
          </w:tcPr>
          <w:p>
            <w:pPr>
              <w:spacing w:after="0" w:line="240" w:lineRule="auto"/>
            </w:pPr>
            <w:r>
              <w:rPr>
                <w:sz w:val="19"/>
              </w:rPr>
              <w:t>int</w:t>
            </w:r>
          </w:p>
        </w:tc>
        <w:tc>
          <w:tcPr>
            <w:tcW w:type="dxa" w:w="2484"/>
            <w:tcMar>
              <w:top w:w="80" w:type="dxa"/>
              <w:start w:w="80" w:type="dxa"/>
              <w:bottom w:w="80" w:type="dxa"/>
              <w:end w:w="80" w:type="dxa"/>
            </w:tcMar>
            <w:vAlign w:val="center"/>
          </w:tcPr>
          <w:p>
            <w:pPr>
              <w:spacing w:after="0" w:line="240" w:lineRule="auto"/>
            </w:pPr>
            <w:r>
              <w:rPr>
                <w:sz w:val="19"/>
              </w:rPr>
              <w:t>properties.sig</w:t>
            </w:r>
          </w:p>
        </w:tc>
        <w:tc>
          <w:tcPr>
            <w:tcW w:type="dxa" w:w="2484"/>
            <w:tcMar>
              <w:top w:w="80" w:type="dxa"/>
              <w:start w:w="80" w:type="dxa"/>
              <w:bottom w:w="80" w:type="dxa"/>
              <w:end w:w="80" w:type="dxa"/>
            </w:tcMar>
            <w:vAlign w:val="center"/>
          </w:tcPr>
          <w:p>
            <w:pPr>
              <w:spacing w:after="0" w:line="240" w:lineRule="auto"/>
            </w:pPr>
            <w:r>
              <w:rPr>
                <w:sz w:val="19"/>
              </w:rPr>
              <w:t>Useful for ranking top events</w:t>
            </w:r>
          </w:p>
        </w:tc>
      </w:tr>
      <w:tr>
        <w:tc>
          <w:tcPr>
            <w:tcW w:type="dxa" w:w="2484"/>
            <w:tcMar>
              <w:top w:w="80" w:type="dxa"/>
              <w:start w:w="80" w:type="dxa"/>
              <w:bottom w:w="80" w:type="dxa"/>
              <w:end w:w="80" w:type="dxa"/>
            </w:tcMar>
            <w:vAlign w:val="center"/>
          </w:tcPr>
          <w:p>
            <w:pPr>
              <w:spacing w:after="0" w:line="240" w:lineRule="auto"/>
            </w:pPr>
            <w:r>
              <w:rPr>
                <w:sz w:val="19"/>
              </w:rPr>
              <w:t>event_date</w:t>
            </w:r>
          </w:p>
        </w:tc>
        <w:tc>
          <w:tcPr>
            <w:tcW w:type="dxa" w:w="2484"/>
            <w:tcMar>
              <w:top w:w="80" w:type="dxa"/>
              <w:start w:w="80" w:type="dxa"/>
              <w:bottom w:w="80" w:type="dxa"/>
              <w:end w:w="80" w:type="dxa"/>
            </w:tcMar>
            <w:vAlign w:val="center"/>
          </w:tcPr>
          <w:p>
            <w:pPr>
              <w:spacing w:after="0" w:line="240" w:lineRule="auto"/>
            </w:pPr>
            <w:r>
              <w:rPr>
                <w:sz w:val="19"/>
              </w:rPr>
              <w:t>date</w:t>
            </w:r>
          </w:p>
        </w:tc>
        <w:tc>
          <w:tcPr>
            <w:tcW w:type="dxa" w:w="2484"/>
            <w:tcMar>
              <w:top w:w="80" w:type="dxa"/>
              <w:start w:w="80" w:type="dxa"/>
              <w:bottom w:w="80" w:type="dxa"/>
              <w:end w:w="80" w:type="dxa"/>
            </w:tcMar>
            <w:vAlign w:val="center"/>
          </w:tcPr>
          <w:p>
            <w:pPr>
              <w:spacing w:after="0" w:line="240" w:lineRule="auto"/>
            </w:pPr>
            <w:r>
              <w:rPr>
                <w:sz w:val="19"/>
              </w:rPr>
              <w:t>derived</w:t>
            </w:r>
          </w:p>
        </w:tc>
        <w:tc>
          <w:tcPr>
            <w:tcW w:type="dxa" w:w="2484"/>
            <w:tcMar>
              <w:top w:w="80" w:type="dxa"/>
              <w:start w:w="80" w:type="dxa"/>
              <w:bottom w:w="80" w:type="dxa"/>
              <w:end w:w="80" w:type="dxa"/>
            </w:tcMar>
            <w:vAlign w:val="center"/>
          </w:tcPr>
          <w:p>
            <w:pPr>
              <w:spacing w:after="0" w:line="240" w:lineRule="auto"/>
            </w:pPr>
            <w:r>
              <w:rPr>
                <w:sz w:val="19"/>
              </w:rPr>
              <w:t>Derived from event_time_utc</w:t>
            </w:r>
          </w:p>
        </w:tc>
      </w:tr>
    </w:tbl>
    <w:p>
      <w:pPr>
        <w:pStyle w:val="Heading1"/>
      </w:pPr>
      <w:r>
        <w:t>18. Suggested Implementation Checkpoints</w:t>
      </w:r>
    </w:p>
    <w:p>
      <w:pPr>
        <w:pStyle w:val="ListBullet"/>
      </w:pPr>
      <w:r>
        <w:t>Checkpoint 1: API extraction works and raw JSON snapshots are landing in Bronze with time-stamped file names.</w:t>
      </w:r>
    </w:p>
    <w:p>
      <w:pPr>
        <w:pStyle w:val="ListBullet"/>
      </w:pPr>
      <w:r>
        <w:t>Checkpoint 2: Silver transformation creates one clean row per earthquake event and passes all critical quality checks.</w:t>
      </w:r>
    </w:p>
    <w:p>
      <w:pPr>
        <w:pStyle w:val="ListBullet"/>
      </w:pPr>
      <w:r>
        <w:t>Checkpoint 3: Gold daily and regional marts are reproducible from Silver without making another API call.</w:t>
      </w:r>
    </w:p>
    <w:p>
      <w:pPr>
        <w:pStyle w:val="ListBullet"/>
      </w:pPr>
      <w:r>
        <w:t>Checkpoint 4: A notebook or dashboard clearly explains the KPIs, assumptions, and limitations of the analysis.</w:t>
      </w:r>
    </w:p>
    <w:p>
      <w:r>
        <w:t>This checkpoint-based approach makes the project easier to review in class and helps students demonstrate progress stage by stage.</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Project 7 - USGS Earthquake Event Analytics Pipeline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