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rFonts w:ascii="Liberation Sans" w:hAnsi="Liberation Sans"/>
          <w:b/>
          <w:color w:val="000000"/>
          <w:sz w:val="50"/>
        </w:rPr>
        <w:t>Icarus</w:t>
      </w:r>
    </w:p>
    <w:p>
      <w:pPr>
        <w:spacing w:after="140"/>
      </w:pPr>
      <w:r>
        <w:rPr>
          <w:rFonts w:ascii="Liberation Sans" w:hAnsi="Liberation Sans"/>
          <w:b w:val="0"/>
          <w:color w:val="0B1C36"/>
          <w:sz w:val="24"/>
        </w:rPr>
        <w:t>Mission software and a validation harness for autonomous drones</w:t>
      </w:r>
    </w:p>
    <w:p>
      <w:pPr>
        <w:spacing w:after="120" w:line="264" w:lineRule="auto"/>
      </w:pPr>
      <w:r>
        <w:rPr>
          <w:rFonts w:ascii="Liberation Sans" w:hAnsi="Liberation Sans"/>
          <w:b w:val="0"/>
          <w:color w:val="4C5668"/>
          <w:sz w:val="20"/>
        </w:rPr>
        <w:t>Icarus gives operators a way to express a drone mission in plain language while keeping flight control, safety limits and emergency recovery outside the AI model. It is built for teams that need mission software they can inspect, test and adapt to their airframe.</w:t>
      </w:r>
    </w:p>
    <w:p>
      <w:pPr>
        <w:spacing w:before="160" w:after="40"/>
      </w:pPr>
      <w:r>
        <w:rPr>
          <w:rFonts w:ascii="Liberation Sans" w:hAnsi="Liberation Sans"/>
          <w:b/>
          <w:color w:val="0B1C36"/>
          <w:sz w:val="20"/>
        </w:rPr>
        <w:t>What we are building</w:t>
      </w:r>
    </w:p>
    <w:p>
      <w:pPr>
        <w:spacing w:after="60" w:line="259" w:lineRule="auto"/>
      </w:pPr>
      <w:r>
        <w:rPr>
          <w:rFonts w:ascii="Liberation Sans" w:hAnsi="Liberation Sans"/>
          <w:b w:val="0"/>
          <w:color w:val="4C5668"/>
          <w:sz w:val="19"/>
        </w:rPr>
        <w:t>A software layer that connects an operator's mission to an existing autopilot. A local decision agent reads current vehicle state and sensor evidence, proposes a bounded action, and receives measured results before the next decision. Icarus verifies every action through a typed Drone API, guardrails, an independent safety supervisor and ArduPilot.</w:t>
      </w:r>
    </w:p>
    <w:p>
      <w:pPr>
        <w:spacing w:before="160" w:after="40"/>
      </w:pPr>
      <w:r>
        <w:rPr>
          <w:rFonts w:ascii="Liberation Sans" w:hAnsi="Liberation Sans"/>
          <w:b/>
          <w:color w:val="0B1C36"/>
          <w:sz w:val="20"/>
        </w:rPr>
        <w:t>The software and harness</w:t>
      </w:r>
    </w:p>
    <w:p>
      <w:pPr>
        <w:pStyle w:val="ListBullet"/>
        <w:spacing w:after="20" w:line="245" w:lineRule="auto"/>
      </w:pPr>
      <w:r>
        <w:rPr>
          <w:rFonts w:ascii="Liberation Sans" w:hAnsi="Liberation Sans"/>
          <w:b w:val="0"/>
          <w:color w:val="4C5668"/>
          <w:sz w:val="18"/>
        </w:rPr>
        <w:t>Mission agent with compact context, typed actions and feedback after each action.</w:t>
      </w:r>
    </w:p>
    <w:p>
      <w:pPr>
        <w:pStyle w:val="ListBullet"/>
        <w:spacing w:after="20" w:line="245" w:lineRule="auto"/>
      </w:pPr>
      <w:r>
        <w:rPr>
          <w:rFonts w:ascii="Liberation Sans" w:hAnsi="Liberation Sans"/>
          <w:b w:val="0"/>
          <w:color w:val="4C5668"/>
          <w:sz w:val="18"/>
        </w:rPr>
        <w:t>State, health, camera, depth and LiDAR interfaces that remain separate from flight authority.</w:t>
      </w:r>
    </w:p>
    <w:p>
      <w:pPr>
        <w:pStyle w:val="ListBullet"/>
        <w:spacing w:after="20" w:line="245" w:lineRule="auto"/>
      </w:pPr>
      <w:r>
        <w:rPr>
          <w:rFonts w:ascii="Liberation Sans" w:hAnsi="Liberation Sans"/>
          <w:b w:val="0"/>
          <w:color w:val="4C5668"/>
          <w:sz w:val="18"/>
        </w:rPr>
        <w:t>Local LiDAR-based route detours, geofence checks, guardrails and safe hold, return or land recovery.</w:t>
      </w:r>
    </w:p>
    <w:p>
      <w:pPr>
        <w:pStyle w:val="ListBullet"/>
        <w:spacing w:after="20" w:line="245" w:lineRule="auto"/>
      </w:pPr>
      <w:r>
        <w:rPr>
          <w:rFonts w:ascii="Liberation Sans" w:hAnsi="Liberation Sans"/>
          <w:b w:val="0"/>
          <w:color w:val="4C5668"/>
          <w:sz w:val="18"/>
        </w:rPr>
        <w:t>Gazebo and AirSim simulation tracks, ArduPilot SITL, fault injection, sealed episode logs and replay.</w:t>
      </w:r>
    </w:p>
    <w:p>
      <w:pPr>
        <w:spacing w:before="160" w:after="40"/>
      </w:pPr>
      <w:r>
        <w:rPr>
          <w:rFonts w:ascii="Liberation Sans" w:hAnsi="Liberation Sans"/>
          <w:b/>
          <w:color w:val="0B1C36"/>
          <w:sz w:val="20"/>
        </w:rPr>
        <w:t>Where it can be useful</w:t>
      </w:r>
    </w:p>
    <w:tbl>
      <w:tblPr>
        <w:tblW w:type="auto" w:w="0"/>
        <w:tblLayout w:type="fixed"/>
        <w:tblLook w:firstColumn="1" w:firstRow="1" w:lastColumn="0" w:lastRow="0" w:noHBand="0" w:noVBand="1" w:val="04A0"/>
      </w:tblPr>
      <w:tblGrid>
        <w:gridCol w:w="4968"/>
        <w:gridCol w:w="4968"/>
      </w:tblGrid>
      <w:tr>
        <w:tc>
          <w:tcPr>
            <w:tcW w:type="dxa" w:w="5227"/>
            <w:vAlign w:val="center"/>
            <w:shd w:fill="F2F5F8"/>
            <w:tcMar>
              <w:top w:w="90" w:type="dxa"/>
              <w:start w:w="120" w:type="dxa"/>
              <w:bottom w:w="90" w:type="dxa"/>
              <w:end w:w="120" w:type="dxa"/>
            </w:tcMar>
          </w:tcPr>
          <w:p>
            <w:pPr>
              <w:spacing w:after="80"/>
            </w:pPr>
            <w:r>
              <w:rPr>
                <w:rFonts w:ascii="Liberation Sans" w:hAnsi="Liberation Sans"/>
                <w:b/>
                <w:color w:val="0B1C36"/>
                <w:sz w:val="20"/>
              </w:rPr>
              <w:t>Defence and security</w:t>
            </w:r>
          </w:p>
          <w:p>
            <w:pPr>
              <w:pStyle w:val="ListBullet"/>
              <w:spacing w:after="20" w:line="240" w:lineRule="auto"/>
            </w:pPr>
            <w:r>
              <w:rPr>
                <w:rFonts w:ascii="Liberation Sans" w:hAnsi="Liberation Sans"/>
                <w:b w:val="0"/>
                <w:color w:val="4C5668"/>
                <w:sz w:val="17"/>
              </w:rPr>
              <w:t>Operator-supervised perimeter observation and reconnaissance.</w:t>
            </w:r>
          </w:p>
          <w:p>
            <w:pPr>
              <w:pStyle w:val="ListBullet"/>
              <w:spacing w:after="20" w:line="240" w:lineRule="auto"/>
            </w:pPr>
            <w:r>
              <w:rPr>
                <w:rFonts w:ascii="Liberation Sans" w:hAnsi="Liberation Sans"/>
                <w:b w:val="0"/>
                <w:color w:val="4C5668"/>
                <w:sz w:val="17"/>
              </w:rPr>
              <w:t>Mission rehearsal in the same software harness used for flight testing.</w:t>
            </w:r>
          </w:p>
          <w:p>
            <w:pPr>
              <w:pStyle w:val="ListBullet"/>
              <w:spacing w:after="20" w:line="240" w:lineRule="auto"/>
            </w:pPr>
            <w:r>
              <w:rPr>
                <w:rFonts w:ascii="Liberation Sans" w:hAnsi="Liberation Sans"/>
                <w:b w:val="0"/>
                <w:color w:val="4C5668"/>
                <w:sz w:val="17"/>
              </w:rPr>
              <w:t>Replayable evidence for mission review, training and failure analysis.</w:t>
            </w:r>
          </w:p>
        </w:tc>
        <w:tc>
          <w:tcPr>
            <w:tcW w:type="dxa" w:w="5227"/>
            <w:vAlign w:val="center"/>
            <w:shd w:fill="F2F5F8"/>
            <w:tcMar>
              <w:top w:w="90" w:type="dxa"/>
              <w:start w:w="120" w:type="dxa"/>
              <w:bottom w:w="90" w:type="dxa"/>
              <w:end w:w="120" w:type="dxa"/>
            </w:tcMar>
          </w:tcPr>
          <w:p>
            <w:pPr>
              <w:spacing w:after="80"/>
            </w:pPr>
            <w:r>
              <w:rPr>
                <w:rFonts w:ascii="Liberation Sans" w:hAnsi="Liberation Sans"/>
                <w:b/>
                <w:color w:val="0B1C36"/>
                <w:sz w:val="20"/>
              </w:rPr>
              <w:t>Enterprise operations</w:t>
            </w:r>
          </w:p>
          <w:p>
            <w:pPr>
              <w:pStyle w:val="ListBullet"/>
              <w:spacing w:after="20" w:line="240" w:lineRule="auto"/>
            </w:pPr>
            <w:r>
              <w:rPr>
                <w:rFonts w:ascii="Liberation Sans" w:hAnsi="Liberation Sans"/>
                <w:b w:val="0"/>
                <w:color w:val="4C5668"/>
                <w:sz w:val="17"/>
              </w:rPr>
              <w:t>Industrial inspection, site security and asset surveys.</w:t>
            </w:r>
          </w:p>
          <w:p>
            <w:pPr>
              <w:pStyle w:val="ListBullet"/>
              <w:spacing w:after="20" w:line="240" w:lineRule="auto"/>
            </w:pPr>
            <w:r>
              <w:rPr>
                <w:rFonts w:ascii="Liberation Sans" w:hAnsi="Liberation Sans"/>
                <w:b w:val="0"/>
                <w:color w:val="4C5668"/>
                <w:sz w:val="17"/>
              </w:rPr>
              <w:t>A reusable mission layer across drone OEMs, sensors and autopilot setups.</w:t>
            </w:r>
          </w:p>
          <w:p>
            <w:pPr>
              <w:pStyle w:val="ListBullet"/>
              <w:spacing w:after="20" w:line="240" w:lineRule="auto"/>
            </w:pPr>
            <w:r>
              <w:rPr>
                <w:rFonts w:ascii="Liberation Sans" w:hAnsi="Liberation Sans"/>
                <w:b w:val="0"/>
                <w:color w:val="4C5668"/>
                <w:sz w:val="17"/>
              </w:rPr>
              <w:t>Repeatable safety, fault and scenario testing before field deployment.</w:t>
            </w:r>
          </w:p>
        </w:tc>
      </w:tr>
    </w:tbl>
    <w:p>
      <w:pPr>
        <w:spacing w:before="160" w:after="40"/>
      </w:pPr>
      <w:r>
        <w:rPr>
          <w:rFonts w:ascii="Liberation Sans" w:hAnsi="Liberation Sans"/>
          <w:b/>
          <w:color w:val="0B1C36"/>
          <w:sz w:val="20"/>
        </w:rPr>
        <w:t>Startup direction</w:t>
      </w:r>
    </w:p>
    <w:p>
      <w:pPr>
        <w:spacing w:after="60" w:line="259" w:lineRule="auto"/>
      </w:pPr>
      <w:r>
        <w:rPr>
          <w:rFonts w:ascii="Liberation Sans" w:hAnsi="Liberation Sans"/>
          <w:b w:val="0"/>
          <w:color w:val="4C5668"/>
          <w:sz w:val="19"/>
        </w:rPr>
        <w:t>Icarus can become the integration and validation layer for drone manufacturers, systems integrators and operators. The initial offer is mission software, simulator-based qualification and customer-specific workflow integration, followed by controlled pilot deployments.</w:t>
      </w:r>
    </w:p>
    <w:p>
      <w:pPr>
        <w:spacing w:before="140" w:after="0"/>
      </w:pPr>
      <w:r>
        <w:rPr>
          <w:rFonts w:ascii="Liberation Sans" w:hAnsi="Liberation Sans"/>
          <w:b w:val="0"/>
          <w:color w:val="4C5668"/>
          <w:sz w:val="17"/>
        </w:rPr>
        <w:t>Current stage: simulation-first R&amp;D. The AI mission layer is not approved for unattended or physical flight.</w:t>
      </w:r>
    </w:p>
    <w:sectPr w:rsidR="00FC693F" w:rsidRPr="0006063C" w:rsidSect="00034616">
      <w:footerReference w:type="default" r:id="rId9"/>
      <w:pgSz w:w="12240" w:h="15840"/>
      <w:pgMar w:top="749" w:right="893" w:bottom="691"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b w:val="0"/>
        <w:color w:val="4C5668"/>
        <w:sz w:val="15"/>
      </w:rPr>
      <w:t>Icarus |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