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Reporte Mensual de Empaque e Infraestructura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Periodo: Marzo 2026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Consumo de Materiales de Empaque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reciente campaña de arándano de este mes, el área de packing reporta el despacho de la fruta utilizando un total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1,200 cajas de cartón virgen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Adicionalmente, se emplearon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50 rollos de stretch film</w:t>
      </w:r>
      <w:r w:rsidDel="00000000" w:rsidR="00000000" w:rsidRPr="00000000">
        <w:rPr>
          <w:rFonts w:ascii="Arial" w:cs="Arial" w:eastAsia="Arial" w:hAnsi="Arial"/>
          <w:rtl w:val="0"/>
        </w:rPr>
        <w:t xml:space="preserve"> y 200 parihuelas (pallets) de madera para el aseguramiento de la carga en los contenedores, elementos clave para proyectar nuestra huella logística.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Gestión de Residuos y Mermas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cuanto a los descartes, se generaron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toneladas de merma de fruta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no cumplieron con los estándares de exportación. Dicha merma no fue enviada a un botadero a cielo abierto, sino que fue derivada a la planta de compostaje local, lo que impactará positivamente en nuestros cálculos de reducción de emisiones de metano.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Consumo Eléctrico y Facturación SEIN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 contabilidad de emisiones Scope 2, se adjuntan los datos del recibo eléctrico de este periodo. El bombeo de agua de pozo para el fundo consumió un total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45,000 kWh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costos operativos asociados han sido registrados de forma neta en el sistema contable (sin IGV), para ser multiplicados por el factor oficial del SEIN dictado por el MINAM.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