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rPr>
      </w:pPr>
      <w:bookmarkStart w:colFirst="0" w:colLast="0" w:name="_m3j59jtoyvni" w:id="0"/>
      <w:bookmarkEnd w:id="0"/>
      <w:r w:rsidDel="00000000" w:rsidR="00000000" w:rsidRPr="00000000">
        <w:rPr>
          <w:b w:val="1"/>
          <w:bCs w:val="1"/>
          <w:rtl w:val="0"/>
        </w:rPr>
        <w:t xml:space="preserve">TERMO DE ABERTURA DE PROJETO</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AGROTECH INTELI + GRUPO MANTIQUEIRA</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pStyle w:val="Heading2"/>
        <w:jc w:val="both"/>
        <w:rPr>
          <w:b w:val="1"/>
          <w:bCs w:val="1"/>
        </w:rPr>
      </w:pPr>
      <w:bookmarkStart w:colFirst="0" w:colLast="0" w:name="_g6juvnn1awyj" w:id="1"/>
      <w:bookmarkEnd w:id="1"/>
      <w:r w:rsidDel="00000000" w:rsidR="00000000" w:rsidRPr="00000000">
        <w:rPr>
          <w:b w:val="1"/>
          <w:bCs w:val="1"/>
          <w:rtl w:val="0"/>
        </w:rPr>
        <w:t xml:space="preserve">1. Nome do Projeto</w:t>
      </w:r>
    </w:p>
    <w:p w:rsidR="00000000" w:rsidDel="00000000" w:rsidP="00000000" w:rsidRDefault="00000000" w:rsidRPr="00000000" w14:paraId="00000005">
      <w:pPr>
        <w:jc w:val="both"/>
        <w:rPr/>
      </w:pPr>
      <w:r w:rsidDel="00000000" w:rsidR="00000000" w:rsidRPr="00000000">
        <w:rPr>
          <w:rtl w:val="0"/>
        </w:rPr>
        <w:t xml:space="preserve">Estratégia de Expansão e Posicionamento da Vertical de Compostos Orgânicos </w:t>
      </w:r>
      <w:r w:rsidDel="00000000" w:rsidR="00000000" w:rsidRPr="00000000">
        <w:rPr>
          <w:rtl w:val="0"/>
        </w:rPr>
        <w:t xml:space="preserve">SoloBom</w:t>
      </w:r>
      <w:r w:rsidDel="00000000" w:rsidR="00000000" w:rsidRPr="00000000">
        <w:rPr>
          <w:rtl w:val="0"/>
        </w:rPr>
      </w:r>
    </w:p>
    <w:p w:rsidR="00000000" w:rsidDel="00000000" w:rsidP="00000000" w:rsidRDefault="00000000" w:rsidRPr="00000000" w14:paraId="00000006">
      <w:pPr>
        <w:pStyle w:val="Heading2"/>
        <w:jc w:val="both"/>
        <w:rPr>
          <w:b w:val="1"/>
          <w:bCs w:val="1"/>
        </w:rPr>
      </w:pPr>
      <w:bookmarkStart w:colFirst="0" w:colLast="0" w:name="_jrtwtu7plwu7" w:id="2"/>
      <w:bookmarkEnd w:id="2"/>
      <w:r w:rsidDel="00000000" w:rsidR="00000000" w:rsidRPr="00000000">
        <w:rPr>
          <w:b w:val="1"/>
          <w:bCs w:val="1"/>
          <w:rtl w:val="0"/>
        </w:rPr>
        <w:t xml:space="preserve">2. Empresa Parceira</w:t>
      </w:r>
    </w:p>
    <w:p w:rsidR="00000000" w:rsidDel="00000000" w:rsidP="00000000" w:rsidRDefault="00000000" w:rsidRPr="00000000" w14:paraId="00000007">
      <w:pPr>
        <w:ind w:left="0" w:firstLine="0"/>
        <w:jc w:val="both"/>
        <w:rPr/>
      </w:pPr>
      <w:r w:rsidDel="00000000" w:rsidR="00000000" w:rsidRPr="00000000">
        <w:rPr>
          <w:rtl w:val="0"/>
        </w:rPr>
        <w:t xml:space="preserve">Mantiqueira Brasil</w:t>
      </w:r>
    </w:p>
    <w:p w:rsidR="00000000" w:rsidDel="00000000" w:rsidP="00000000" w:rsidRDefault="00000000" w:rsidRPr="00000000" w14:paraId="00000008">
      <w:pPr>
        <w:pStyle w:val="Heading2"/>
        <w:jc w:val="both"/>
        <w:rPr>
          <w:b w:val="1"/>
          <w:bCs w:val="1"/>
        </w:rPr>
      </w:pPr>
      <w:bookmarkStart w:colFirst="0" w:colLast="0" w:name="_9xcfnhfkyz0l" w:id="3"/>
      <w:bookmarkEnd w:id="3"/>
      <w:r w:rsidDel="00000000" w:rsidR="00000000" w:rsidRPr="00000000">
        <w:rPr>
          <w:b w:val="1"/>
          <w:bCs w:val="1"/>
          <w:rtl w:val="0"/>
        </w:rPr>
        <w:t xml:space="preserve">3. Breve Descrição Sobre a Empresa</w:t>
      </w:r>
    </w:p>
    <w:p w:rsidR="00000000" w:rsidDel="00000000" w:rsidP="00000000" w:rsidRDefault="00000000" w:rsidRPr="00000000" w14:paraId="00000009">
      <w:pPr>
        <w:spacing w:after="240" w:before="240" w:lineRule="auto"/>
        <w:ind w:firstLine="720"/>
        <w:jc w:val="both"/>
        <w:rPr/>
      </w:pPr>
      <w:r w:rsidDel="00000000" w:rsidR="00000000" w:rsidRPr="00000000">
        <w:rPr>
          <w:rtl w:val="0"/>
        </w:rPr>
        <w:t xml:space="preserve">A </w:t>
      </w:r>
      <w:r w:rsidDel="00000000" w:rsidR="00000000" w:rsidRPr="00000000">
        <w:rPr>
          <w:b w:val="1"/>
          <w:bCs w:val="1"/>
          <w:rtl w:val="0"/>
        </w:rPr>
        <w:t xml:space="preserve">Mantiqueira Brasil</w:t>
      </w:r>
      <w:r w:rsidDel="00000000" w:rsidR="00000000" w:rsidRPr="00000000">
        <w:rPr>
          <w:rtl w:val="0"/>
        </w:rPr>
        <w:t xml:space="preserve"> é a maior empresa produtora de ovos da América do Sul, com mais de 30 anos de atuação no setor e operação consolidada no Brasil e no exterior. Reconhecida por seu pioneirismo e capacidade de inovação, a companhia possui forte presença no varejo e desempenha papel relevante na cadeia de produção de alimentos no país.</w:t>
      </w:r>
    </w:p>
    <w:p w:rsidR="00000000" w:rsidDel="00000000" w:rsidP="00000000" w:rsidRDefault="00000000" w:rsidRPr="00000000" w14:paraId="0000000A">
      <w:pPr>
        <w:spacing w:after="240" w:before="240" w:lineRule="auto"/>
        <w:ind w:firstLine="720"/>
        <w:jc w:val="both"/>
        <w:rPr/>
      </w:pPr>
      <w:r w:rsidDel="00000000" w:rsidR="00000000" w:rsidRPr="00000000">
        <w:rPr>
          <w:rtl w:val="0"/>
        </w:rPr>
        <w:t xml:space="preserve">Como parte de sua estratégia de sustentabilidade e economia circular, o grupo criou a </w:t>
      </w:r>
      <w:r w:rsidDel="00000000" w:rsidR="00000000" w:rsidRPr="00000000">
        <w:rPr>
          <w:rtl w:val="0"/>
        </w:rPr>
        <w:t xml:space="preserve">SoloBom</w:t>
      </w:r>
      <w:r w:rsidDel="00000000" w:rsidR="00000000" w:rsidRPr="00000000">
        <w:rPr>
          <w:rtl w:val="0"/>
        </w:rPr>
        <w:t xml:space="preserve">, divisão responsável pela produção de fertilizantes orgânicos a partir do reaproveitamento do esterco gerado pela produção de galinhas poedeiras. O processo permite transformar 100% desse resíduo em composto orgânico de alto valor agronômico, contribuindo para a melhoria da fertilidade do solo e para práticas agrícolas mais sustentáveis.</w:t>
      </w:r>
    </w:p>
    <w:p w:rsidR="00000000" w:rsidDel="00000000" w:rsidP="00000000" w:rsidRDefault="00000000" w:rsidRPr="00000000" w14:paraId="0000000B">
      <w:pPr>
        <w:spacing w:after="240" w:before="240" w:lineRule="auto"/>
        <w:ind w:firstLine="720"/>
        <w:jc w:val="both"/>
        <w:rPr/>
      </w:pPr>
      <w:r w:rsidDel="00000000" w:rsidR="00000000" w:rsidRPr="00000000">
        <w:rPr>
          <w:rtl w:val="0"/>
        </w:rPr>
        <w:t xml:space="preserve">Com mais de 10 anos de experiência no mercado de fertilizantes orgânicos, a </w:t>
      </w:r>
      <w:r w:rsidDel="00000000" w:rsidR="00000000" w:rsidRPr="00000000">
        <w:rPr>
          <w:rtl w:val="0"/>
        </w:rPr>
        <w:t xml:space="preserve">SoloBom</w:t>
      </w:r>
      <w:r w:rsidDel="00000000" w:rsidR="00000000" w:rsidRPr="00000000">
        <w:rPr>
          <w:rtl w:val="0"/>
        </w:rPr>
        <w:t xml:space="preserve"> possui unidades fabris em Primavera do Leste (MT) e Campanha (MG), com capacidade produtiva relevante e presença comercial em importantes regiões agrícolas do país. Seus produtos são registrados no MAPA e certificados pelo IBD, apresentando elevados níveis de matéria orgânica, nutrientes essenciais e alta capacidade de troca catiônica (CTC).</w:t>
      </w:r>
    </w:p>
    <w:p w:rsidR="00000000" w:rsidDel="00000000" w:rsidP="00000000" w:rsidRDefault="00000000" w:rsidRPr="00000000" w14:paraId="0000000C">
      <w:pPr>
        <w:spacing w:after="240" w:before="240" w:lineRule="auto"/>
        <w:ind w:firstLine="720"/>
        <w:jc w:val="both"/>
        <w:rPr/>
      </w:pPr>
      <w:r w:rsidDel="00000000" w:rsidR="00000000" w:rsidRPr="00000000">
        <w:rPr>
          <w:rtl w:val="0"/>
        </w:rPr>
        <w:t xml:space="preserve">A atuação da SoloBom está alinhada ao avanço da agricultura regenerativa, oferecendo soluções que contribuem para a melhoria das propriedades químicas, físicas e biológicas do solo, promovendo maior produtividade agrícola de forma sustentável.</w:t>
      </w:r>
    </w:p>
    <w:p w:rsidR="00000000" w:rsidDel="00000000" w:rsidP="00000000" w:rsidRDefault="00000000" w:rsidRPr="00000000" w14:paraId="0000000D">
      <w:pPr>
        <w:ind w:firstLine="720"/>
        <w:jc w:val="both"/>
        <w:rPr/>
      </w:pPr>
      <w:r w:rsidDel="00000000" w:rsidR="00000000" w:rsidRPr="00000000">
        <w:rPr>
          <w:rtl w:val="0"/>
        </w:rPr>
      </w:r>
    </w:p>
    <w:p w:rsidR="00000000" w:rsidDel="00000000" w:rsidP="00000000" w:rsidRDefault="00000000" w:rsidRPr="00000000" w14:paraId="0000000E">
      <w:pPr>
        <w:pStyle w:val="Heading2"/>
        <w:jc w:val="both"/>
        <w:rPr>
          <w:b w:val="1"/>
          <w:bCs w:val="1"/>
        </w:rPr>
      </w:pPr>
      <w:bookmarkStart w:colFirst="0" w:colLast="0" w:name="_ug0evdoa971d" w:id="4"/>
      <w:bookmarkEnd w:id="4"/>
      <w:r w:rsidDel="00000000" w:rsidR="00000000" w:rsidRPr="00000000">
        <w:rPr>
          <w:b w:val="1"/>
          <w:bCs w:val="1"/>
          <w:rtl w:val="0"/>
        </w:rPr>
        <w:t xml:space="preserve">4. Overview</w:t>
      </w:r>
    </w:p>
    <w:p w:rsidR="00000000" w:rsidDel="00000000" w:rsidP="00000000" w:rsidRDefault="00000000" w:rsidRPr="00000000" w14:paraId="0000000F">
      <w:pPr>
        <w:numPr>
          <w:ilvl w:val="0"/>
          <w:numId w:val="6"/>
        </w:numPr>
        <w:ind w:left="720" w:hanging="360"/>
        <w:jc w:val="both"/>
        <w:rPr>
          <w:u w:val="none"/>
        </w:rPr>
      </w:pPr>
      <w:r w:rsidDel="00000000" w:rsidR="00000000" w:rsidRPr="00000000">
        <w:rPr>
          <w:b w:val="1"/>
          <w:bCs w:val="1"/>
          <w:rtl w:val="0"/>
        </w:rPr>
        <w:t xml:space="preserve">PRINCIPAL ÁREA DE NEGÓCIO:</w:t>
      </w:r>
      <w:r w:rsidDel="00000000" w:rsidR="00000000" w:rsidRPr="00000000">
        <w:rPr>
          <w:rtl w:val="0"/>
        </w:rPr>
        <w:t xml:space="preserve"> Produção de ovos, fertilizantes orgânicos, agronegócio e economia circular.</w:t>
      </w:r>
      <w:r w:rsidDel="00000000" w:rsidR="00000000" w:rsidRPr="00000000">
        <w:rPr>
          <w:rtl w:val="0"/>
        </w:rPr>
      </w:r>
    </w:p>
    <w:p w:rsidR="00000000" w:rsidDel="00000000" w:rsidP="00000000" w:rsidRDefault="00000000" w:rsidRPr="00000000" w14:paraId="00000010">
      <w:pPr>
        <w:numPr>
          <w:ilvl w:val="0"/>
          <w:numId w:val="6"/>
        </w:numPr>
        <w:ind w:left="720" w:hanging="360"/>
        <w:jc w:val="both"/>
        <w:rPr>
          <w:u w:val="none"/>
        </w:rPr>
      </w:pPr>
      <w:r w:rsidDel="00000000" w:rsidR="00000000" w:rsidRPr="00000000">
        <w:rPr>
          <w:b w:val="1"/>
          <w:bCs w:val="1"/>
          <w:rtl w:val="0"/>
        </w:rPr>
        <w:t xml:space="preserve">LÍDER DO PROJETO:</w:t>
      </w:r>
      <w:r w:rsidDel="00000000" w:rsidR="00000000" w:rsidRPr="00000000">
        <w:rPr>
          <w:rtl w:val="0"/>
        </w:rPr>
        <w:t xml:space="preserve"> Amanda Rosa – Presidente do AgroTech Inteli</w:t>
      </w:r>
    </w:p>
    <w:p w:rsidR="00000000" w:rsidDel="00000000" w:rsidP="00000000" w:rsidRDefault="00000000" w:rsidRPr="00000000" w14:paraId="00000011">
      <w:pPr>
        <w:numPr>
          <w:ilvl w:val="0"/>
          <w:numId w:val="6"/>
        </w:numPr>
        <w:ind w:left="720" w:hanging="360"/>
        <w:jc w:val="both"/>
        <w:rPr>
          <w:u w:val="none"/>
        </w:rPr>
      </w:pPr>
      <w:r w:rsidDel="00000000" w:rsidR="00000000" w:rsidRPr="00000000">
        <w:rPr>
          <w:b w:val="1"/>
          <w:bCs w:val="1"/>
          <w:rtl w:val="0"/>
        </w:rPr>
        <w:t xml:space="preserve">LÍDER TÉCNICO: </w:t>
      </w:r>
      <w:r w:rsidDel="00000000" w:rsidR="00000000" w:rsidRPr="00000000">
        <w:rPr>
          <w:rtl w:val="0"/>
        </w:rPr>
        <w:t xml:space="preserve">Stefanne Soares – Vice-Presidente do AgroTech Inteli</w:t>
      </w:r>
    </w:p>
    <w:p w:rsidR="00000000" w:rsidDel="00000000" w:rsidP="00000000" w:rsidRDefault="00000000" w:rsidRPr="00000000" w14:paraId="00000012">
      <w:pPr>
        <w:numPr>
          <w:ilvl w:val="0"/>
          <w:numId w:val="6"/>
        </w:numPr>
        <w:ind w:left="720" w:hanging="360"/>
        <w:jc w:val="both"/>
        <w:rPr>
          <w:u w:val="none"/>
        </w:rPr>
      </w:pPr>
      <w:r w:rsidDel="00000000" w:rsidR="00000000" w:rsidRPr="00000000">
        <w:rPr>
          <w:b w:val="1"/>
          <w:bCs w:val="1"/>
          <w:rtl w:val="0"/>
        </w:rPr>
        <w:t xml:space="preserve">LÍDER DE NEGÓCIO:</w:t>
      </w:r>
      <w:r w:rsidDel="00000000" w:rsidR="00000000" w:rsidRPr="00000000">
        <w:rPr>
          <w:rtl w:val="0"/>
        </w:rPr>
        <w:t xml:space="preserve">  - Project Owner do AgroTech</w:t>
      </w:r>
    </w:p>
    <w:p w:rsidR="00000000" w:rsidDel="00000000" w:rsidP="00000000" w:rsidRDefault="00000000" w:rsidRPr="00000000" w14:paraId="00000013">
      <w:pPr>
        <w:numPr>
          <w:ilvl w:val="0"/>
          <w:numId w:val="6"/>
        </w:numPr>
        <w:ind w:left="720" w:hanging="360"/>
        <w:jc w:val="both"/>
        <w:rPr>
          <w:u w:val="none"/>
        </w:rPr>
      </w:pPr>
      <w:r w:rsidDel="00000000" w:rsidR="00000000" w:rsidRPr="00000000">
        <w:rPr>
          <w:b w:val="1"/>
          <w:bCs w:val="1"/>
          <w:rtl w:val="0"/>
        </w:rPr>
        <w:t xml:space="preserve">LÍDER EXECUTIVO:</w:t>
      </w:r>
      <w:r w:rsidDel="00000000" w:rsidR="00000000" w:rsidRPr="00000000">
        <w:rPr>
          <w:rtl w:val="0"/>
        </w:rPr>
        <w:t xml:space="preserve"> Leandro Testa - Diretor de Inovação do Grupo Mantiqueira </w:t>
      </w:r>
    </w:p>
    <w:p w:rsidR="00000000" w:rsidDel="00000000" w:rsidP="00000000" w:rsidRDefault="00000000" w:rsidRPr="00000000" w14:paraId="00000014">
      <w:pPr>
        <w:pStyle w:val="Heading2"/>
        <w:jc w:val="both"/>
        <w:rPr>
          <w:b w:val="1"/>
          <w:bCs w:val="1"/>
        </w:rPr>
      </w:pPr>
      <w:bookmarkStart w:colFirst="0" w:colLast="0" w:name="_2ra0qx4zdqm7" w:id="5"/>
      <w:bookmarkEnd w:id="5"/>
      <w:r w:rsidDel="00000000" w:rsidR="00000000" w:rsidRPr="00000000">
        <w:rPr>
          <w:b w:val="1"/>
          <w:bCs w:val="1"/>
          <w:rtl w:val="0"/>
        </w:rPr>
        <w:t xml:space="preserve">5. Objetivo do Projeto</w:t>
      </w:r>
    </w:p>
    <w:p w:rsidR="00000000" w:rsidDel="00000000" w:rsidP="00000000" w:rsidRDefault="00000000" w:rsidRPr="00000000" w14:paraId="00000015">
      <w:pPr>
        <w:spacing w:after="240" w:before="240" w:lineRule="auto"/>
        <w:ind w:firstLine="720"/>
        <w:jc w:val="both"/>
        <w:rPr/>
      </w:pPr>
      <w:r w:rsidDel="00000000" w:rsidR="00000000" w:rsidRPr="00000000">
        <w:rPr>
          <w:rtl w:val="0"/>
        </w:rPr>
        <w:t xml:space="preserve">Desenvolver uma análise estratégica do mercado de compostos orgânicos no Brasil, com foco na vertical </w:t>
      </w:r>
      <w:r w:rsidDel="00000000" w:rsidR="00000000" w:rsidRPr="00000000">
        <w:rPr>
          <w:rtl w:val="0"/>
        </w:rPr>
        <w:t xml:space="preserve">SoloBom</w:t>
      </w:r>
      <w:r w:rsidDel="00000000" w:rsidR="00000000" w:rsidRPr="00000000">
        <w:rPr>
          <w:rtl w:val="0"/>
        </w:rPr>
        <w:t xml:space="preserve">, visando identificar oportunidades de crescimento, posicionamento competitivo e expansão geográfica. O projeto deverá consolidar dados de mercado, concorrência, precificação e regiões estratégicas, gerando recomendações executivas para apoio à tomada de decisão da empresa.</w:t>
      </w:r>
    </w:p>
    <w:p w:rsidR="00000000" w:rsidDel="00000000" w:rsidP="00000000" w:rsidRDefault="00000000" w:rsidRPr="00000000" w14:paraId="00000016">
      <w:pPr>
        <w:pStyle w:val="Heading2"/>
        <w:jc w:val="both"/>
        <w:rPr>
          <w:b w:val="1"/>
          <w:bCs w:val="1"/>
        </w:rPr>
      </w:pPr>
      <w:bookmarkStart w:colFirst="0" w:colLast="0" w:name="_35gbns5i7j3m" w:id="6"/>
      <w:bookmarkEnd w:id="6"/>
      <w:r w:rsidDel="00000000" w:rsidR="00000000" w:rsidRPr="00000000">
        <w:rPr>
          <w:b w:val="1"/>
          <w:bCs w:val="1"/>
          <w:rtl w:val="0"/>
        </w:rPr>
        <w:t xml:space="preserve">6. Justificativa</w:t>
      </w:r>
    </w:p>
    <w:p w:rsidR="00000000" w:rsidDel="00000000" w:rsidP="00000000" w:rsidRDefault="00000000" w:rsidRPr="00000000" w14:paraId="00000017">
      <w:pPr>
        <w:spacing w:after="240" w:before="240" w:lineRule="auto"/>
        <w:ind w:firstLine="720"/>
        <w:rPr/>
      </w:pPr>
      <w:r w:rsidDel="00000000" w:rsidR="00000000" w:rsidRPr="00000000">
        <w:rPr>
          <w:rtl w:val="0"/>
        </w:rPr>
        <w:t xml:space="preserve">O mercado de fertilizantes orgânicos tem apresentado crescimento relevante nos últimos anos, impulsionado pela busca por práticas agrícolas mais sustentáveis, pela necessidade de aumento da matéria orgânica nos solos e pela crescente demanda por soluções alinhadas à agricultura regenerativa.</w:t>
      </w:r>
    </w:p>
    <w:p w:rsidR="00000000" w:rsidDel="00000000" w:rsidP="00000000" w:rsidRDefault="00000000" w:rsidRPr="00000000" w14:paraId="00000018">
      <w:pPr>
        <w:spacing w:after="240" w:before="240" w:lineRule="auto"/>
        <w:ind w:firstLine="720"/>
        <w:rPr/>
      </w:pPr>
      <w:r w:rsidDel="00000000" w:rsidR="00000000" w:rsidRPr="00000000">
        <w:rPr>
          <w:rtl w:val="0"/>
        </w:rPr>
        <w:t xml:space="preserve">Nesse contexto, a </w:t>
      </w:r>
      <w:r w:rsidDel="00000000" w:rsidR="00000000" w:rsidRPr="00000000">
        <w:rPr>
          <w:rtl w:val="0"/>
        </w:rPr>
        <w:t xml:space="preserve">SoloBom</w:t>
      </w:r>
      <w:r w:rsidDel="00000000" w:rsidR="00000000" w:rsidRPr="00000000">
        <w:rPr>
          <w:rtl w:val="0"/>
        </w:rPr>
        <w:t xml:space="preserve">, divisão da </w:t>
      </w:r>
      <w:r w:rsidDel="00000000" w:rsidR="00000000" w:rsidRPr="00000000">
        <w:rPr>
          <w:b w:val="1"/>
          <w:bCs w:val="1"/>
          <w:rtl w:val="0"/>
        </w:rPr>
        <w:t xml:space="preserve">Mantiqueira Brasil</w:t>
      </w:r>
      <w:r w:rsidDel="00000000" w:rsidR="00000000" w:rsidRPr="00000000">
        <w:rPr>
          <w:rtl w:val="0"/>
        </w:rPr>
        <w:t xml:space="preserve">, surge como uma iniciativa estratégica que integra sustentabilidade e eficiência produtiva, transformando o esterco proveniente da produção de ovos em fertilizante orgânico de alto valor agronômico. Esse modelo representa um exemplo de economia circular dentro do agronegócio, ao converter um resíduo da cadeia produtiva em insumo agrícola.</w:t>
      </w:r>
    </w:p>
    <w:p w:rsidR="00000000" w:rsidDel="00000000" w:rsidP="00000000" w:rsidRDefault="00000000" w:rsidRPr="00000000" w14:paraId="00000019">
      <w:pPr>
        <w:spacing w:after="240" w:before="240" w:lineRule="auto"/>
        <w:ind w:firstLine="720"/>
        <w:rPr/>
      </w:pPr>
      <w:r w:rsidDel="00000000" w:rsidR="00000000" w:rsidRPr="00000000">
        <w:rPr>
          <w:rtl w:val="0"/>
        </w:rPr>
        <w:t xml:space="preserve">Apesar do crescimento do setor e do potencial competitivo da SoloBom, o mercado de fertilizantes orgânicos ainda apresenta elevada fragmentação, diferentes níveis de maturidade entre concorrentes e desafios relacionados ao posicionamento estratégico, diferenciação de </w:t>
      </w:r>
      <w:r w:rsidDel="00000000" w:rsidR="00000000" w:rsidRPr="00000000">
        <w:rPr>
          <w:rtl w:val="0"/>
        </w:rPr>
        <w:t xml:space="preserve">produto</w:t>
      </w:r>
      <w:r w:rsidDel="00000000" w:rsidR="00000000" w:rsidRPr="00000000">
        <w:rPr>
          <w:rtl w:val="0"/>
        </w:rPr>
        <w:t xml:space="preserve"> e expansão comercial.</w:t>
      </w:r>
    </w:p>
    <w:p w:rsidR="00000000" w:rsidDel="00000000" w:rsidP="00000000" w:rsidRDefault="00000000" w:rsidRPr="00000000" w14:paraId="0000001A">
      <w:pPr>
        <w:spacing w:after="240" w:before="240" w:lineRule="auto"/>
        <w:ind w:firstLine="720"/>
        <w:rPr/>
      </w:pPr>
      <w:r w:rsidDel="00000000" w:rsidR="00000000" w:rsidRPr="00000000">
        <w:rPr>
          <w:rtl w:val="0"/>
        </w:rPr>
        <w:t xml:space="preserve">Dessa forma, torna-se relevante realizar uma análise estruturada do mercado, do ambiente competitivo e das oportunidades de posicionamento, permitindo identificar caminhos estratégicos para fortalecer a presença da SoloBom e apoiar futuras decisões de crescimento da vertical dentro do Grupo Mantiqueira.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jc w:val="both"/>
        <w:rPr>
          <w:b w:val="1"/>
          <w:bCs w:val="1"/>
        </w:rPr>
      </w:pPr>
      <w:bookmarkStart w:colFirst="0" w:colLast="0" w:name="_qyxo57whdns" w:id="7"/>
      <w:bookmarkEnd w:id="7"/>
      <w:r w:rsidDel="00000000" w:rsidR="00000000" w:rsidRPr="00000000">
        <w:rPr>
          <w:b w:val="1"/>
          <w:bCs w:val="1"/>
          <w:rtl w:val="0"/>
        </w:rPr>
        <w:t xml:space="preserve">7. Escopo do Projeto</w:t>
      </w:r>
    </w:p>
    <w:p w:rsidR="00000000" w:rsidDel="00000000" w:rsidP="00000000" w:rsidRDefault="00000000" w:rsidRPr="00000000" w14:paraId="0000001D">
      <w:pPr>
        <w:pStyle w:val="Heading3"/>
        <w:jc w:val="both"/>
        <w:rPr>
          <w:b w:val="1"/>
          <w:bCs w:val="1"/>
          <w:color w:val="000000"/>
        </w:rPr>
      </w:pPr>
      <w:bookmarkStart w:colFirst="0" w:colLast="0" w:name="_h5xzf5kkvcln" w:id="8"/>
      <w:bookmarkEnd w:id="8"/>
      <w:r w:rsidDel="00000000" w:rsidR="00000000" w:rsidRPr="00000000">
        <w:rPr>
          <w:b w:val="1"/>
          <w:bCs w:val="1"/>
          <w:color w:val="000000"/>
          <w:rtl w:val="0"/>
        </w:rPr>
        <w:t xml:space="preserve">Incluso:</w:t>
      </w:r>
    </w:p>
    <w:p w:rsidR="00000000" w:rsidDel="00000000" w:rsidP="00000000" w:rsidRDefault="00000000" w:rsidRPr="00000000" w14:paraId="0000001E">
      <w:pPr>
        <w:numPr>
          <w:ilvl w:val="0"/>
          <w:numId w:val="5"/>
        </w:numPr>
        <w:ind w:left="720" w:hanging="360"/>
        <w:jc w:val="both"/>
        <w:rPr>
          <w:u w:val="none"/>
        </w:rPr>
      </w:pPr>
      <w:r w:rsidDel="00000000" w:rsidR="00000000" w:rsidRPr="00000000">
        <w:rPr>
          <w:rtl w:val="0"/>
        </w:rPr>
        <w:t xml:space="preserve">Análise do tamanho e crescimento do mercado de fertilizantes orgânicos no Brasil</w:t>
      </w:r>
    </w:p>
    <w:p w:rsidR="00000000" w:rsidDel="00000000" w:rsidP="00000000" w:rsidRDefault="00000000" w:rsidRPr="00000000" w14:paraId="0000001F">
      <w:pPr>
        <w:numPr>
          <w:ilvl w:val="0"/>
          <w:numId w:val="5"/>
        </w:numPr>
        <w:ind w:left="720" w:hanging="360"/>
        <w:jc w:val="both"/>
        <w:rPr>
          <w:u w:val="none"/>
        </w:rPr>
      </w:pPr>
      <w:r w:rsidDel="00000000" w:rsidR="00000000" w:rsidRPr="00000000">
        <w:rPr>
          <w:rtl w:val="0"/>
        </w:rPr>
        <w:t xml:space="preserve">Identificação dos principais drivers de mercado</w:t>
      </w:r>
    </w:p>
    <w:p w:rsidR="00000000" w:rsidDel="00000000" w:rsidP="00000000" w:rsidRDefault="00000000" w:rsidRPr="00000000" w14:paraId="00000020">
      <w:pPr>
        <w:numPr>
          <w:ilvl w:val="0"/>
          <w:numId w:val="5"/>
        </w:numPr>
        <w:ind w:left="720" w:hanging="360"/>
        <w:jc w:val="both"/>
        <w:rPr>
          <w:u w:val="none"/>
        </w:rPr>
      </w:pPr>
      <w:r w:rsidDel="00000000" w:rsidR="00000000" w:rsidRPr="00000000">
        <w:rPr>
          <w:rtl w:val="0"/>
        </w:rPr>
        <w:t xml:space="preserve">Mapeamento de principais concorrentes</w:t>
      </w:r>
    </w:p>
    <w:p w:rsidR="00000000" w:rsidDel="00000000" w:rsidP="00000000" w:rsidRDefault="00000000" w:rsidRPr="00000000" w14:paraId="00000021">
      <w:pPr>
        <w:numPr>
          <w:ilvl w:val="0"/>
          <w:numId w:val="5"/>
        </w:numPr>
        <w:ind w:left="720" w:hanging="360"/>
        <w:jc w:val="both"/>
        <w:rPr>
          <w:u w:val="none"/>
        </w:rPr>
      </w:pPr>
      <w:r w:rsidDel="00000000" w:rsidR="00000000" w:rsidRPr="00000000">
        <w:rPr>
          <w:rtl w:val="0"/>
        </w:rPr>
        <w:t xml:space="preserve">Análise comparativa de posicionamento e diferenciação</w:t>
      </w:r>
    </w:p>
    <w:p w:rsidR="00000000" w:rsidDel="00000000" w:rsidP="00000000" w:rsidRDefault="00000000" w:rsidRPr="00000000" w14:paraId="00000022">
      <w:pPr>
        <w:numPr>
          <w:ilvl w:val="0"/>
          <w:numId w:val="5"/>
        </w:numPr>
        <w:ind w:left="720" w:hanging="360"/>
        <w:jc w:val="both"/>
        <w:rPr>
          <w:u w:val="none"/>
        </w:rPr>
      </w:pPr>
      <w:r w:rsidDel="00000000" w:rsidR="00000000" w:rsidRPr="00000000">
        <w:rPr>
          <w:rtl w:val="0"/>
        </w:rPr>
        <w:t xml:space="preserve">Estudo de regiões prioritárias para expansão</w:t>
      </w:r>
    </w:p>
    <w:p w:rsidR="00000000" w:rsidDel="00000000" w:rsidP="00000000" w:rsidRDefault="00000000" w:rsidRPr="00000000" w14:paraId="00000023">
      <w:pPr>
        <w:numPr>
          <w:ilvl w:val="0"/>
          <w:numId w:val="5"/>
        </w:numPr>
        <w:ind w:left="720" w:hanging="360"/>
        <w:jc w:val="both"/>
        <w:rPr>
          <w:u w:val="none"/>
        </w:rPr>
      </w:pPr>
      <w:r w:rsidDel="00000000" w:rsidR="00000000" w:rsidRPr="00000000">
        <w:rPr>
          <w:rtl w:val="0"/>
        </w:rPr>
        <w:t xml:space="preserve">Análise exploratória de estrutura de precificação do mercado</w:t>
      </w:r>
    </w:p>
    <w:p w:rsidR="00000000" w:rsidDel="00000000" w:rsidP="00000000" w:rsidRDefault="00000000" w:rsidRPr="00000000" w14:paraId="00000024">
      <w:pPr>
        <w:numPr>
          <w:ilvl w:val="0"/>
          <w:numId w:val="5"/>
        </w:numPr>
        <w:ind w:left="720" w:hanging="360"/>
        <w:jc w:val="both"/>
        <w:rPr>
          <w:u w:val="none"/>
        </w:rPr>
      </w:pPr>
      <w:r w:rsidDel="00000000" w:rsidR="00000000" w:rsidRPr="00000000">
        <w:rPr>
          <w:rtl w:val="0"/>
        </w:rPr>
        <w:t xml:space="preserve">Benchmark competitivo</w:t>
      </w:r>
    </w:p>
    <w:p w:rsidR="00000000" w:rsidDel="00000000" w:rsidP="00000000" w:rsidRDefault="00000000" w:rsidRPr="00000000" w14:paraId="00000025">
      <w:pPr>
        <w:numPr>
          <w:ilvl w:val="0"/>
          <w:numId w:val="5"/>
        </w:numPr>
        <w:ind w:left="720" w:hanging="360"/>
        <w:jc w:val="both"/>
        <w:rPr>
          <w:u w:val="none"/>
        </w:rPr>
      </w:pPr>
      <w:r w:rsidDel="00000000" w:rsidR="00000000" w:rsidRPr="00000000">
        <w:rPr>
          <w:rtl w:val="0"/>
        </w:rPr>
        <w:t xml:space="preserve">Identificação de regiões e segmentos prioritários para expansão</w:t>
      </w:r>
    </w:p>
    <w:p w:rsidR="00000000" w:rsidDel="00000000" w:rsidP="00000000" w:rsidRDefault="00000000" w:rsidRPr="00000000" w14:paraId="00000026">
      <w:pPr>
        <w:numPr>
          <w:ilvl w:val="0"/>
          <w:numId w:val="5"/>
        </w:numPr>
        <w:ind w:left="720" w:hanging="360"/>
        <w:jc w:val="both"/>
        <w:rPr>
          <w:u w:val="none"/>
        </w:rPr>
      </w:pPr>
      <w:r w:rsidDel="00000000" w:rsidR="00000000" w:rsidRPr="00000000">
        <w:rPr>
          <w:rtl w:val="0"/>
        </w:rPr>
        <w:t xml:space="preserve">Consolidação de recomendações estratégicas</w:t>
      </w:r>
    </w:p>
    <w:p w:rsidR="00000000" w:rsidDel="00000000" w:rsidP="00000000" w:rsidRDefault="00000000" w:rsidRPr="00000000" w14:paraId="00000027">
      <w:pPr>
        <w:numPr>
          <w:ilvl w:val="0"/>
          <w:numId w:val="5"/>
        </w:numPr>
        <w:spacing w:after="0" w:afterAutospacing="0"/>
        <w:ind w:left="720" w:hanging="360"/>
        <w:jc w:val="both"/>
        <w:rPr>
          <w:u w:val="none"/>
        </w:rPr>
      </w:pPr>
      <w:r w:rsidDel="00000000" w:rsidR="00000000" w:rsidRPr="00000000">
        <w:rPr>
          <w:rtl w:val="0"/>
        </w:rPr>
        <w:t xml:space="preserve">Desenvolvimento de um entregável tecnológico básico (dashboard ou visualização interativa) que consolide:</w:t>
      </w:r>
    </w:p>
    <w:p w:rsidR="00000000" w:rsidDel="00000000" w:rsidP="00000000" w:rsidRDefault="00000000" w:rsidRPr="00000000" w14:paraId="00000028">
      <w:pPr>
        <w:numPr>
          <w:ilvl w:val="1"/>
          <w:numId w:val="5"/>
        </w:numPr>
        <w:spacing w:after="0" w:afterAutospacing="0" w:before="0" w:beforeAutospacing="0" w:lineRule="auto"/>
        <w:ind w:left="1440" w:hanging="360"/>
      </w:pPr>
      <w:r w:rsidDel="00000000" w:rsidR="00000000" w:rsidRPr="00000000">
        <w:rPr>
          <w:rtl w:val="0"/>
        </w:rPr>
        <w:t xml:space="preserve">Dados de mercado</w:t>
      </w:r>
    </w:p>
    <w:p w:rsidR="00000000" w:rsidDel="00000000" w:rsidP="00000000" w:rsidRDefault="00000000" w:rsidRPr="00000000" w14:paraId="00000029">
      <w:pPr>
        <w:numPr>
          <w:ilvl w:val="1"/>
          <w:numId w:val="5"/>
        </w:numPr>
        <w:spacing w:after="0" w:afterAutospacing="0" w:before="0" w:beforeAutospacing="0" w:lineRule="auto"/>
        <w:ind w:left="1440" w:hanging="360"/>
      </w:pPr>
      <w:r w:rsidDel="00000000" w:rsidR="00000000" w:rsidRPr="00000000">
        <w:rPr>
          <w:rtl w:val="0"/>
        </w:rPr>
        <w:t xml:space="preserve">Mapeamento regional</w:t>
      </w:r>
    </w:p>
    <w:p w:rsidR="00000000" w:rsidDel="00000000" w:rsidP="00000000" w:rsidRDefault="00000000" w:rsidRPr="00000000" w14:paraId="0000002A">
      <w:pPr>
        <w:numPr>
          <w:ilvl w:val="1"/>
          <w:numId w:val="5"/>
        </w:numPr>
        <w:spacing w:after="240" w:before="0" w:beforeAutospacing="0" w:lineRule="auto"/>
        <w:ind w:left="1440" w:hanging="360"/>
      </w:pPr>
      <w:r w:rsidDel="00000000" w:rsidR="00000000" w:rsidRPr="00000000">
        <w:rPr>
          <w:rtl w:val="0"/>
        </w:rPr>
        <w:t xml:space="preserve">Comparativo competitivo</w:t>
      </w:r>
    </w:p>
    <w:p w:rsidR="00000000" w:rsidDel="00000000" w:rsidP="00000000" w:rsidRDefault="00000000" w:rsidRPr="00000000" w14:paraId="0000002B">
      <w:pPr>
        <w:pStyle w:val="Heading3"/>
        <w:jc w:val="both"/>
        <w:rPr>
          <w:b w:val="1"/>
          <w:bCs w:val="1"/>
          <w:color w:val="000000"/>
        </w:rPr>
      </w:pPr>
      <w:bookmarkStart w:colFirst="0" w:colLast="0" w:name="_200slrn1fmfy" w:id="9"/>
      <w:bookmarkEnd w:id="9"/>
      <w:r w:rsidDel="00000000" w:rsidR="00000000" w:rsidRPr="00000000">
        <w:rPr>
          <w:b w:val="1"/>
          <w:bCs w:val="1"/>
          <w:color w:val="000000"/>
          <w:rtl w:val="0"/>
        </w:rPr>
        <w:t xml:space="preserve">Não Incluso:</w:t>
      </w:r>
    </w:p>
    <w:p w:rsidR="00000000" w:rsidDel="00000000" w:rsidP="00000000" w:rsidRDefault="00000000" w:rsidRPr="00000000" w14:paraId="0000002C">
      <w:pPr>
        <w:numPr>
          <w:ilvl w:val="0"/>
          <w:numId w:val="3"/>
        </w:numPr>
        <w:ind w:left="720" w:hanging="360"/>
        <w:jc w:val="both"/>
        <w:rPr>
          <w:u w:val="none"/>
        </w:rPr>
      </w:pPr>
      <w:r w:rsidDel="00000000" w:rsidR="00000000" w:rsidRPr="00000000">
        <w:rPr>
          <w:rtl w:val="0"/>
        </w:rPr>
        <w:t xml:space="preserve">Implementação comercial da estratégia;</w:t>
      </w:r>
    </w:p>
    <w:p w:rsidR="00000000" w:rsidDel="00000000" w:rsidP="00000000" w:rsidRDefault="00000000" w:rsidRPr="00000000" w14:paraId="0000002D">
      <w:pPr>
        <w:numPr>
          <w:ilvl w:val="0"/>
          <w:numId w:val="3"/>
        </w:numPr>
        <w:ind w:left="720" w:hanging="360"/>
        <w:jc w:val="both"/>
        <w:rPr>
          <w:u w:val="none"/>
        </w:rPr>
      </w:pPr>
      <w:r w:rsidDel="00000000" w:rsidR="00000000" w:rsidRPr="00000000">
        <w:rPr>
          <w:rtl w:val="0"/>
        </w:rPr>
        <w:t xml:space="preserve">Definição de plano operacional detalhado;</w:t>
      </w:r>
    </w:p>
    <w:p w:rsidR="00000000" w:rsidDel="00000000" w:rsidP="00000000" w:rsidRDefault="00000000" w:rsidRPr="00000000" w14:paraId="0000002E">
      <w:pPr>
        <w:numPr>
          <w:ilvl w:val="0"/>
          <w:numId w:val="3"/>
        </w:numPr>
        <w:ind w:left="720" w:hanging="360"/>
        <w:jc w:val="both"/>
        <w:rPr>
          <w:u w:val="none"/>
        </w:rPr>
      </w:pPr>
      <w:r w:rsidDel="00000000" w:rsidR="00000000" w:rsidRPr="00000000">
        <w:rPr>
          <w:rtl w:val="0"/>
        </w:rPr>
        <w:t xml:space="preserve">Construção de modelo financeiro aprofundado;</w:t>
      </w:r>
    </w:p>
    <w:p w:rsidR="00000000" w:rsidDel="00000000" w:rsidP="00000000" w:rsidRDefault="00000000" w:rsidRPr="00000000" w14:paraId="0000002F">
      <w:pPr>
        <w:numPr>
          <w:ilvl w:val="0"/>
          <w:numId w:val="3"/>
        </w:numPr>
        <w:ind w:left="720" w:hanging="360"/>
        <w:jc w:val="both"/>
        <w:rPr>
          <w:u w:val="none"/>
        </w:rPr>
      </w:pPr>
      <w:r w:rsidDel="00000000" w:rsidR="00000000" w:rsidRPr="00000000">
        <w:rPr>
          <w:rtl w:val="0"/>
        </w:rPr>
        <w:t xml:space="preserve">Abertura de novas unidades fabris.</w:t>
      </w:r>
    </w:p>
    <w:p w:rsidR="00000000" w:rsidDel="00000000" w:rsidP="00000000" w:rsidRDefault="00000000" w:rsidRPr="00000000" w14:paraId="00000030">
      <w:pPr>
        <w:ind w:left="0" w:firstLine="0"/>
        <w:jc w:val="both"/>
        <w:rPr>
          <w:b w:val="1"/>
          <w:bCs w:val="1"/>
        </w:rPr>
      </w:pPr>
      <w:r w:rsidDel="00000000" w:rsidR="00000000" w:rsidRPr="00000000">
        <w:rPr>
          <w:rtl w:val="0"/>
        </w:rPr>
      </w:r>
    </w:p>
    <w:p w:rsidR="00000000" w:rsidDel="00000000" w:rsidP="00000000" w:rsidRDefault="00000000" w:rsidRPr="00000000" w14:paraId="00000031">
      <w:pPr>
        <w:pStyle w:val="Heading2"/>
        <w:jc w:val="both"/>
        <w:rPr>
          <w:b w:val="1"/>
          <w:bCs w:val="1"/>
        </w:rPr>
      </w:pPr>
      <w:bookmarkStart w:colFirst="0" w:colLast="0" w:name="_15autq9qs7ey" w:id="10"/>
      <w:bookmarkEnd w:id="10"/>
      <w:r w:rsidDel="00000000" w:rsidR="00000000" w:rsidRPr="00000000">
        <w:rPr>
          <w:b w:val="1"/>
          <w:bCs w:val="1"/>
          <w:rtl w:val="0"/>
        </w:rPr>
        <w:t xml:space="preserve">8. Benefícios Esperados</w:t>
      </w:r>
    </w:p>
    <w:p w:rsidR="00000000" w:rsidDel="00000000" w:rsidP="00000000" w:rsidRDefault="00000000" w:rsidRPr="00000000" w14:paraId="00000032">
      <w:pPr>
        <w:numPr>
          <w:ilvl w:val="0"/>
          <w:numId w:val="2"/>
        </w:numPr>
        <w:ind w:left="720" w:hanging="360"/>
        <w:jc w:val="both"/>
        <w:rPr>
          <w:u w:val="none"/>
        </w:rPr>
      </w:pPr>
      <w:r w:rsidDel="00000000" w:rsidR="00000000" w:rsidRPr="00000000">
        <w:rPr>
          <w:rtl w:val="0"/>
        </w:rPr>
        <w:t xml:space="preserve">Clareza sobre o posicionamento da SoloBom no mercado;</w:t>
      </w:r>
    </w:p>
    <w:p w:rsidR="00000000" w:rsidDel="00000000" w:rsidP="00000000" w:rsidRDefault="00000000" w:rsidRPr="00000000" w14:paraId="00000033">
      <w:pPr>
        <w:numPr>
          <w:ilvl w:val="0"/>
          <w:numId w:val="2"/>
        </w:numPr>
        <w:ind w:left="720" w:hanging="360"/>
        <w:jc w:val="both"/>
        <w:rPr>
          <w:u w:val="none"/>
        </w:rPr>
      </w:pPr>
      <w:r w:rsidDel="00000000" w:rsidR="00000000" w:rsidRPr="00000000">
        <w:rPr>
          <w:rtl w:val="0"/>
        </w:rPr>
        <w:t xml:space="preserve">Identificação de regiões com maior potencial de crescimento;</w:t>
      </w:r>
    </w:p>
    <w:p w:rsidR="00000000" w:rsidDel="00000000" w:rsidP="00000000" w:rsidRDefault="00000000" w:rsidRPr="00000000" w14:paraId="00000034">
      <w:pPr>
        <w:numPr>
          <w:ilvl w:val="0"/>
          <w:numId w:val="2"/>
        </w:numPr>
        <w:ind w:left="720" w:hanging="360"/>
        <w:jc w:val="both"/>
        <w:rPr>
          <w:u w:val="none"/>
        </w:rPr>
      </w:pPr>
      <w:r w:rsidDel="00000000" w:rsidR="00000000" w:rsidRPr="00000000">
        <w:rPr>
          <w:rtl w:val="0"/>
        </w:rPr>
        <w:t xml:space="preserve">Apoio estratégico à expansão da vertical;</w:t>
      </w:r>
    </w:p>
    <w:p w:rsidR="00000000" w:rsidDel="00000000" w:rsidP="00000000" w:rsidRDefault="00000000" w:rsidRPr="00000000" w14:paraId="00000035">
      <w:pPr>
        <w:numPr>
          <w:ilvl w:val="0"/>
          <w:numId w:val="2"/>
        </w:numPr>
        <w:ind w:left="720" w:hanging="360"/>
        <w:jc w:val="both"/>
      </w:pPr>
      <w:r w:rsidDel="00000000" w:rsidR="00000000" w:rsidRPr="00000000">
        <w:rPr>
          <w:rtl w:val="0"/>
        </w:rPr>
        <w:t xml:space="preserve">Estrutura analítica para futuras decisões executivas.</w:t>
      </w:r>
    </w:p>
    <w:p w:rsidR="00000000" w:rsidDel="00000000" w:rsidP="00000000" w:rsidRDefault="00000000" w:rsidRPr="00000000" w14:paraId="00000036">
      <w:pPr>
        <w:ind w:left="0" w:firstLine="0"/>
        <w:jc w:val="both"/>
        <w:rPr/>
      </w:pPr>
      <w:r w:rsidDel="00000000" w:rsidR="00000000" w:rsidRPr="00000000">
        <w:rPr>
          <w:rtl w:val="0"/>
        </w:rPr>
      </w:r>
    </w:p>
    <w:p w:rsidR="00000000" w:rsidDel="00000000" w:rsidP="00000000" w:rsidRDefault="00000000" w:rsidRPr="00000000" w14:paraId="00000037">
      <w:pPr>
        <w:pStyle w:val="Heading2"/>
        <w:jc w:val="both"/>
        <w:rPr>
          <w:b w:val="1"/>
          <w:bCs w:val="1"/>
        </w:rPr>
      </w:pPr>
      <w:bookmarkStart w:colFirst="0" w:colLast="0" w:name="_7ghydxhcu1f" w:id="11"/>
      <w:bookmarkEnd w:id="11"/>
      <w:r w:rsidDel="00000000" w:rsidR="00000000" w:rsidRPr="00000000">
        <w:rPr>
          <w:b w:val="1"/>
          <w:bCs w:val="1"/>
          <w:rtl w:val="0"/>
        </w:rPr>
        <w:t xml:space="preserve">9. Premissas</w:t>
      </w:r>
    </w:p>
    <w:p w:rsidR="00000000" w:rsidDel="00000000" w:rsidP="00000000" w:rsidRDefault="00000000" w:rsidRPr="00000000" w14:paraId="00000038">
      <w:pPr>
        <w:numPr>
          <w:ilvl w:val="0"/>
          <w:numId w:val="9"/>
        </w:numPr>
        <w:ind w:left="720" w:hanging="360"/>
        <w:jc w:val="both"/>
        <w:rPr>
          <w:u w:val="none"/>
        </w:rPr>
      </w:pPr>
      <w:r w:rsidDel="00000000" w:rsidR="00000000" w:rsidRPr="00000000">
        <w:rPr>
          <w:rtl w:val="0"/>
        </w:rPr>
        <w:t xml:space="preserve">A empresa poderá fornecer materiais institucionais e informações estratégicas não confidenciais;</w:t>
      </w:r>
    </w:p>
    <w:p w:rsidR="00000000" w:rsidDel="00000000" w:rsidP="00000000" w:rsidRDefault="00000000" w:rsidRPr="00000000" w14:paraId="00000039">
      <w:pPr>
        <w:numPr>
          <w:ilvl w:val="0"/>
          <w:numId w:val="9"/>
        </w:numPr>
        <w:ind w:left="720" w:hanging="360"/>
        <w:jc w:val="both"/>
        <w:rPr>
          <w:u w:val="none"/>
        </w:rPr>
      </w:pPr>
      <w:r w:rsidDel="00000000" w:rsidR="00000000" w:rsidRPr="00000000">
        <w:rPr>
          <w:rtl w:val="0"/>
        </w:rPr>
        <w:t xml:space="preserve">Serão utilizados dados públicos de mercado (MAPA, IBGE, CONAB, Embrapa, etc.);</w:t>
      </w:r>
    </w:p>
    <w:p w:rsidR="00000000" w:rsidDel="00000000" w:rsidP="00000000" w:rsidRDefault="00000000" w:rsidRPr="00000000" w14:paraId="0000003A">
      <w:pPr>
        <w:numPr>
          <w:ilvl w:val="0"/>
          <w:numId w:val="9"/>
        </w:numPr>
        <w:ind w:left="720" w:hanging="360"/>
        <w:jc w:val="both"/>
        <w:rPr>
          <w:u w:val="none"/>
        </w:rPr>
      </w:pPr>
      <w:r w:rsidDel="00000000" w:rsidR="00000000" w:rsidRPr="00000000">
        <w:rPr>
          <w:rtl w:val="0"/>
        </w:rPr>
        <w:t xml:space="preserve">O time de projeto terá dedicação de 4 horas semanais por membro;</w:t>
      </w:r>
    </w:p>
    <w:p w:rsidR="00000000" w:rsidDel="00000000" w:rsidP="00000000" w:rsidRDefault="00000000" w:rsidRPr="00000000" w14:paraId="0000003B">
      <w:pPr>
        <w:numPr>
          <w:ilvl w:val="0"/>
          <w:numId w:val="9"/>
        </w:numPr>
        <w:ind w:left="720" w:hanging="360"/>
        <w:jc w:val="both"/>
        <w:rPr>
          <w:u w:val="none"/>
        </w:rPr>
      </w:pPr>
      <w:r w:rsidDel="00000000" w:rsidR="00000000" w:rsidRPr="00000000">
        <w:rPr>
          <w:rtl w:val="0"/>
        </w:rPr>
        <w:t xml:space="preserve">O desenvolvimento seguirá o calendário acadêmico do AgroTech Inteli.</w:t>
      </w:r>
    </w:p>
    <w:p w:rsidR="00000000" w:rsidDel="00000000" w:rsidP="00000000" w:rsidRDefault="00000000" w:rsidRPr="00000000" w14:paraId="0000003C">
      <w:pPr>
        <w:pStyle w:val="Heading2"/>
        <w:jc w:val="both"/>
        <w:rPr>
          <w:b w:val="1"/>
          <w:bCs w:val="1"/>
        </w:rPr>
      </w:pPr>
      <w:bookmarkStart w:colFirst="0" w:colLast="0" w:name="_3gmdj4rj8bzy" w:id="12"/>
      <w:bookmarkEnd w:id="12"/>
      <w:r w:rsidDel="00000000" w:rsidR="00000000" w:rsidRPr="00000000">
        <w:rPr>
          <w:b w:val="1"/>
          <w:bCs w:val="1"/>
          <w:rtl w:val="0"/>
        </w:rPr>
        <w:t xml:space="preserve">10. Restrições</w:t>
      </w:r>
    </w:p>
    <w:p w:rsidR="00000000" w:rsidDel="00000000" w:rsidP="00000000" w:rsidRDefault="00000000" w:rsidRPr="00000000" w14:paraId="0000003D">
      <w:pPr>
        <w:numPr>
          <w:ilvl w:val="0"/>
          <w:numId w:val="1"/>
        </w:numPr>
        <w:ind w:left="720" w:hanging="360"/>
        <w:jc w:val="both"/>
        <w:rPr>
          <w:u w:val="none"/>
        </w:rPr>
      </w:pPr>
      <w:r w:rsidDel="00000000" w:rsidR="00000000" w:rsidRPr="00000000">
        <w:rPr>
          <w:rtl w:val="0"/>
        </w:rPr>
        <w:t xml:space="preserve">Tempo total de execução limitado ao período 11/05 a 24/06 (3 sprints);</w:t>
      </w:r>
    </w:p>
    <w:p w:rsidR="00000000" w:rsidDel="00000000" w:rsidP="00000000" w:rsidRDefault="00000000" w:rsidRPr="00000000" w14:paraId="0000003E">
      <w:pPr>
        <w:numPr>
          <w:ilvl w:val="0"/>
          <w:numId w:val="1"/>
        </w:numPr>
        <w:ind w:left="720" w:hanging="360"/>
        <w:jc w:val="both"/>
        <w:rPr>
          <w:u w:val="none"/>
        </w:rPr>
      </w:pPr>
      <w:r w:rsidDel="00000000" w:rsidR="00000000" w:rsidRPr="00000000">
        <w:rPr>
          <w:rtl w:val="0"/>
        </w:rPr>
        <w:t xml:space="preserve">Escopo restrito à análise estratégica e protótipo tecnológico básico;</w:t>
      </w:r>
    </w:p>
    <w:p w:rsidR="00000000" w:rsidDel="00000000" w:rsidP="00000000" w:rsidRDefault="00000000" w:rsidRPr="00000000" w14:paraId="0000003F">
      <w:pPr>
        <w:numPr>
          <w:ilvl w:val="0"/>
          <w:numId w:val="1"/>
        </w:numPr>
        <w:ind w:left="720" w:hanging="360"/>
        <w:jc w:val="both"/>
        <w:rPr>
          <w:u w:val="none"/>
        </w:rPr>
      </w:pPr>
      <w:r w:rsidDel="00000000" w:rsidR="00000000" w:rsidRPr="00000000">
        <w:rPr>
          <w:rtl w:val="0"/>
        </w:rPr>
        <w:t xml:space="preserve">Dependência de dados públicos ou fornecidos pela empresa.</w:t>
      </w:r>
    </w:p>
    <w:p w:rsidR="00000000" w:rsidDel="00000000" w:rsidP="00000000" w:rsidRDefault="00000000" w:rsidRPr="00000000" w14:paraId="00000040">
      <w:pPr>
        <w:ind w:left="0" w:firstLine="0"/>
        <w:jc w:val="both"/>
        <w:rPr/>
      </w:pPr>
      <w:r w:rsidDel="00000000" w:rsidR="00000000" w:rsidRPr="00000000">
        <w:rPr>
          <w:rtl w:val="0"/>
        </w:rPr>
      </w:r>
    </w:p>
    <w:p w:rsidR="00000000" w:rsidDel="00000000" w:rsidP="00000000" w:rsidRDefault="00000000" w:rsidRPr="00000000" w14:paraId="00000041">
      <w:pPr>
        <w:pStyle w:val="Heading2"/>
        <w:jc w:val="both"/>
        <w:rPr>
          <w:b w:val="1"/>
          <w:bCs w:val="1"/>
        </w:rPr>
      </w:pPr>
      <w:bookmarkStart w:colFirst="0" w:colLast="0" w:name="_gssyh5jzwnd7" w:id="13"/>
      <w:bookmarkEnd w:id="13"/>
      <w:r w:rsidDel="00000000" w:rsidR="00000000" w:rsidRPr="00000000">
        <w:rPr>
          <w:b w:val="1"/>
          <w:bCs w:val="1"/>
          <w:rtl w:val="0"/>
        </w:rPr>
        <w:t xml:space="preserve">11. Riscos</w:t>
      </w:r>
    </w:p>
    <w:p w:rsidR="00000000" w:rsidDel="00000000" w:rsidP="00000000" w:rsidRDefault="00000000" w:rsidRPr="00000000" w14:paraId="00000042">
      <w:pPr>
        <w:numPr>
          <w:ilvl w:val="0"/>
          <w:numId w:val="10"/>
        </w:numPr>
        <w:ind w:left="720" w:hanging="360"/>
        <w:jc w:val="both"/>
        <w:rPr>
          <w:u w:val="none"/>
        </w:rPr>
      </w:pPr>
      <w:r w:rsidDel="00000000" w:rsidR="00000000" w:rsidRPr="00000000">
        <w:rPr>
          <w:rtl w:val="0"/>
        </w:rPr>
        <w:t xml:space="preserve">Limitação de dados públicos consolidados sobre mercado de orgânicos</w:t>
      </w:r>
    </w:p>
    <w:p w:rsidR="00000000" w:rsidDel="00000000" w:rsidP="00000000" w:rsidRDefault="00000000" w:rsidRPr="00000000" w14:paraId="00000043">
      <w:pPr>
        <w:numPr>
          <w:ilvl w:val="0"/>
          <w:numId w:val="10"/>
        </w:numPr>
        <w:ind w:left="720" w:hanging="360"/>
        <w:jc w:val="both"/>
        <w:rPr>
          <w:u w:val="none"/>
        </w:rPr>
      </w:pPr>
      <w:r w:rsidDel="00000000" w:rsidR="00000000" w:rsidRPr="00000000">
        <w:rPr>
          <w:rtl w:val="0"/>
        </w:rPr>
        <w:t xml:space="preserve">Dificuldade de acesso a dados de precificação concorrencial</w:t>
      </w:r>
    </w:p>
    <w:p w:rsidR="00000000" w:rsidDel="00000000" w:rsidP="00000000" w:rsidRDefault="00000000" w:rsidRPr="00000000" w14:paraId="00000044">
      <w:pPr>
        <w:numPr>
          <w:ilvl w:val="0"/>
          <w:numId w:val="10"/>
        </w:numPr>
        <w:ind w:left="720" w:hanging="360"/>
        <w:jc w:val="both"/>
        <w:rPr>
          <w:u w:val="none"/>
        </w:rPr>
      </w:pPr>
      <w:r w:rsidDel="00000000" w:rsidR="00000000" w:rsidRPr="00000000">
        <w:rPr>
          <w:rtl w:val="0"/>
        </w:rPr>
        <w:t xml:space="preserve">Escopo amplo exigir priorização estratégica</w:t>
      </w:r>
    </w:p>
    <w:p w:rsidR="00000000" w:rsidDel="00000000" w:rsidP="00000000" w:rsidRDefault="00000000" w:rsidRPr="00000000" w14:paraId="00000045">
      <w:pPr>
        <w:ind w:left="0" w:firstLine="0"/>
        <w:jc w:val="both"/>
        <w:rPr/>
      </w:pPr>
      <w:r w:rsidDel="00000000" w:rsidR="00000000" w:rsidRPr="00000000">
        <w:rPr>
          <w:rtl w:val="0"/>
        </w:rPr>
      </w:r>
    </w:p>
    <w:p w:rsidR="00000000" w:rsidDel="00000000" w:rsidP="00000000" w:rsidRDefault="00000000" w:rsidRPr="00000000" w14:paraId="00000046">
      <w:pPr>
        <w:pStyle w:val="Heading2"/>
        <w:jc w:val="both"/>
        <w:rPr>
          <w:b w:val="1"/>
          <w:bCs w:val="1"/>
        </w:rPr>
      </w:pPr>
      <w:bookmarkStart w:colFirst="0" w:colLast="0" w:name="_cq1wnwvk5ux" w:id="14"/>
      <w:bookmarkEnd w:id="14"/>
      <w:r w:rsidDel="00000000" w:rsidR="00000000" w:rsidRPr="00000000">
        <w:rPr>
          <w:b w:val="1"/>
          <w:bCs w:val="1"/>
          <w:rtl w:val="0"/>
        </w:rPr>
        <w:t xml:space="preserve">12. Partes Interessadas</w:t>
      </w:r>
    </w:p>
    <w:p w:rsidR="00000000" w:rsidDel="00000000" w:rsidP="00000000" w:rsidRDefault="00000000" w:rsidRPr="00000000" w14:paraId="00000047">
      <w:pPr>
        <w:numPr>
          <w:ilvl w:val="0"/>
          <w:numId w:val="8"/>
        </w:numPr>
        <w:ind w:left="720" w:hanging="360"/>
        <w:jc w:val="both"/>
        <w:rPr>
          <w:u w:val="none"/>
        </w:rPr>
      </w:pPr>
      <w:r w:rsidDel="00000000" w:rsidR="00000000" w:rsidRPr="00000000">
        <w:rPr>
          <w:rtl w:val="0"/>
        </w:rPr>
        <w:t xml:space="preserve">Diretoria d</w:t>
      </w:r>
      <w:r w:rsidDel="00000000" w:rsidR="00000000" w:rsidRPr="00000000">
        <w:rPr>
          <w:rtl w:val="0"/>
        </w:rPr>
        <w:t xml:space="preserve">a </w:t>
      </w:r>
      <w:r w:rsidDel="00000000" w:rsidR="00000000" w:rsidRPr="00000000">
        <w:rPr>
          <w:b w:val="1"/>
          <w:bCs w:val="1"/>
          <w:rtl w:val="0"/>
        </w:rPr>
        <w:t xml:space="preserve">Mantiqueira</w:t>
      </w:r>
      <w:r w:rsidDel="00000000" w:rsidR="00000000" w:rsidRPr="00000000">
        <w:rPr>
          <w:rtl w:val="0"/>
        </w:rPr>
        <w:t xml:space="preserve">;</w:t>
      </w:r>
    </w:p>
    <w:p w:rsidR="00000000" w:rsidDel="00000000" w:rsidP="00000000" w:rsidRDefault="00000000" w:rsidRPr="00000000" w14:paraId="00000048">
      <w:pPr>
        <w:numPr>
          <w:ilvl w:val="0"/>
          <w:numId w:val="8"/>
        </w:numPr>
        <w:ind w:left="720" w:hanging="360"/>
        <w:jc w:val="both"/>
        <w:rPr>
          <w:u w:val="none"/>
        </w:rPr>
      </w:pPr>
      <w:r w:rsidDel="00000000" w:rsidR="00000000" w:rsidRPr="00000000">
        <w:rPr>
          <w:rtl w:val="0"/>
        </w:rPr>
        <w:t xml:space="preserve">Liderança da SoloBom;</w:t>
      </w:r>
    </w:p>
    <w:p w:rsidR="00000000" w:rsidDel="00000000" w:rsidP="00000000" w:rsidRDefault="00000000" w:rsidRPr="00000000" w14:paraId="00000049">
      <w:pPr>
        <w:numPr>
          <w:ilvl w:val="0"/>
          <w:numId w:val="8"/>
        </w:numPr>
        <w:ind w:left="720" w:hanging="360"/>
        <w:jc w:val="both"/>
        <w:rPr>
          <w:u w:val="none"/>
        </w:rPr>
      </w:pPr>
      <w:r w:rsidDel="00000000" w:rsidR="00000000" w:rsidRPr="00000000">
        <w:rPr>
          <w:rtl w:val="0"/>
        </w:rPr>
        <w:t xml:space="preserve">Equipe de pesquisa e tecnologia do AgroTech Inteli.</w:t>
      </w:r>
    </w:p>
    <w:p w:rsidR="00000000" w:rsidDel="00000000" w:rsidP="00000000" w:rsidRDefault="00000000" w:rsidRPr="00000000" w14:paraId="0000004A">
      <w:pPr>
        <w:pStyle w:val="Heading2"/>
        <w:jc w:val="both"/>
        <w:rPr>
          <w:b w:val="1"/>
          <w:bCs w:val="1"/>
        </w:rPr>
      </w:pPr>
      <w:bookmarkStart w:colFirst="0" w:colLast="0" w:name="_xdxdvns3m3x4" w:id="15"/>
      <w:bookmarkEnd w:id="15"/>
      <w:r w:rsidDel="00000000" w:rsidR="00000000" w:rsidRPr="00000000">
        <w:rPr>
          <w:b w:val="1"/>
          <w:bCs w:val="1"/>
          <w:rtl w:val="0"/>
        </w:rPr>
        <w:t xml:space="preserve">13. Cronograma Macro Inicial</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jc w:val="both"/>
        <w:rPr>
          <w:b w:val="1"/>
          <w:bCs w:val="1"/>
        </w:rPr>
      </w:pPr>
      <w:r w:rsidDel="00000000" w:rsidR="00000000" w:rsidRPr="00000000">
        <w:rPr>
          <w:rFonts w:ascii="Arial Unicode MS" w:cs="Arial Unicode MS" w:eastAsia="Arial Unicode MS" w:hAnsi="Arial Unicode MS"/>
          <w:b w:val="1"/>
          <w:bCs w:val="1"/>
          <w:rtl w:val="0"/>
        </w:rPr>
        <w:t xml:space="preserve">Fase 1 – Diagnóstico e Levantamento de Mercado (Sprint 1): 11/05 → 22/05</w:t>
      </w:r>
    </w:p>
    <w:p w:rsidR="00000000" w:rsidDel="00000000" w:rsidP="00000000" w:rsidRDefault="00000000" w:rsidRPr="00000000" w14:paraId="0000004D">
      <w:pPr>
        <w:jc w:val="both"/>
        <w:rPr/>
      </w:pPr>
      <w:r w:rsidDel="00000000" w:rsidR="00000000" w:rsidRPr="00000000">
        <w:rPr>
          <w:rtl w:val="0"/>
        </w:rPr>
        <w:t xml:space="preserve">Levantamento inicial do mercado de fertilizantes orgânicos no Brasil, incluindo análise de contexto do setor, identificação dos principais drivers e concorrentes, e mapeamento da cadeia de valor do produto. Nesta fase também serão consolidadas informações sobre o posicionamento atual da SoloBom.</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b w:val="1"/>
          <w:bCs w:val="1"/>
        </w:rPr>
      </w:pPr>
      <w:r w:rsidDel="00000000" w:rsidR="00000000" w:rsidRPr="00000000">
        <w:rPr>
          <w:rFonts w:ascii="Arial Unicode MS" w:cs="Arial Unicode MS" w:eastAsia="Arial Unicode MS" w:hAnsi="Arial Unicode MS"/>
          <w:b w:val="1"/>
          <w:bCs w:val="1"/>
          <w:rtl w:val="0"/>
        </w:rPr>
        <w:t xml:space="preserve">Fase 2 – Análise Estratégica e Posicionamento (Sprint 2): 25/05 → 03/06</w:t>
      </w:r>
    </w:p>
    <w:p w:rsidR="00000000" w:rsidDel="00000000" w:rsidP="00000000" w:rsidRDefault="00000000" w:rsidRPr="00000000" w14:paraId="00000050">
      <w:pPr>
        <w:jc w:val="both"/>
        <w:rPr/>
      </w:pPr>
      <w:r w:rsidDel="00000000" w:rsidR="00000000" w:rsidRPr="00000000">
        <w:rPr>
          <w:rtl w:val="0"/>
        </w:rPr>
        <w:t xml:space="preserve">Realização de análises comparativas entre a </w:t>
      </w:r>
      <w:r w:rsidDel="00000000" w:rsidR="00000000" w:rsidRPr="00000000">
        <w:rPr>
          <w:rtl w:val="0"/>
        </w:rPr>
        <w:t xml:space="preserve">SoloBom</w:t>
      </w:r>
      <w:r w:rsidDel="00000000" w:rsidR="00000000" w:rsidRPr="00000000">
        <w:rPr>
          <w:rtl w:val="0"/>
        </w:rPr>
        <w:t xml:space="preserve"> e seus concorrentes, incluindo estudo de posicionamento de mercado, diferenciais competitivos e estrutura de precificação. A partir dessas análises, serão identificadas oportunidades estratégicas para fortalecimento do posicionamento da empresa e possíveis direções de crescimento.</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b w:val="1"/>
          <w:bCs w:val="1"/>
        </w:rPr>
      </w:pPr>
      <w:r w:rsidDel="00000000" w:rsidR="00000000" w:rsidRPr="00000000">
        <w:rPr>
          <w:b w:val="1"/>
          <w:bCs w:val="1"/>
          <w:rtl w:val="0"/>
        </w:rPr>
        <w:t xml:space="preserve">Fase 3 – Consolidação Estratégica e MVP (Sprint 3):</w:t>
      </w:r>
      <w:r w:rsidDel="00000000" w:rsidR="00000000" w:rsidRPr="00000000">
        <w:rPr>
          <w:rFonts w:ascii="Arial Unicode MS" w:cs="Arial Unicode MS" w:eastAsia="Arial Unicode MS" w:hAnsi="Arial Unicode MS"/>
          <w:b w:val="1"/>
          <w:bCs w:val="1"/>
          <w:rtl w:val="0"/>
        </w:rPr>
        <w:t xml:space="preserve"> 08/06 → 24/06</w:t>
      </w:r>
    </w:p>
    <w:p w:rsidR="00000000" w:rsidDel="00000000" w:rsidP="00000000" w:rsidRDefault="00000000" w:rsidRPr="00000000" w14:paraId="00000053">
      <w:pPr>
        <w:jc w:val="both"/>
        <w:rPr/>
      </w:pPr>
      <w:r w:rsidDel="00000000" w:rsidR="00000000" w:rsidRPr="00000000">
        <w:rPr>
          <w:rtl w:val="0"/>
        </w:rPr>
        <w:t xml:space="preserve">Consolidação das análises realizadas ao longo do projeto e desenvolvimento das recomendações estratégicas finais. Nesta etapa também será desenvolvido um entregável tecnológico simples (dashboard ou visualização de dados) que sintetize os principais insights do projeto e apoie a apresentação final para os stakeholders.</w:t>
      </w:r>
    </w:p>
    <w:p w:rsidR="00000000" w:rsidDel="00000000" w:rsidP="00000000" w:rsidRDefault="00000000" w:rsidRPr="00000000" w14:paraId="00000054">
      <w:pPr>
        <w:pStyle w:val="Heading2"/>
        <w:jc w:val="both"/>
        <w:rPr>
          <w:b w:val="1"/>
          <w:bCs w:val="1"/>
        </w:rPr>
      </w:pPr>
      <w:bookmarkStart w:colFirst="0" w:colLast="0" w:name="_zfensb4pi5bk" w:id="16"/>
      <w:bookmarkEnd w:id="16"/>
      <w:r w:rsidDel="00000000" w:rsidR="00000000" w:rsidRPr="00000000">
        <w:rPr>
          <w:b w:val="1"/>
          <w:bCs w:val="1"/>
          <w:rtl w:val="0"/>
        </w:rPr>
        <w:t xml:space="preserve">14. MVP (Produto Mínimo Viável)</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Dashboard ou ferramenta de visualização interativa contendo:</w:t>
      </w:r>
    </w:p>
    <w:p w:rsidR="00000000" w:rsidDel="00000000" w:rsidP="00000000" w:rsidRDefault="00000000" w:rsidRPr="00000000" w14:paraId="00000056">
      <w:pPr>
        <w:numPr>
          <w:ilvl w:val="0"/>
          <w:numId w:val="4"/>
        </w:numPr>
        <w:spacing w:after="0" w:afterAutospacing="0" w:before="240" w:lineRule="auto"/>
        <w:ind w:left="720" w:hanging="360"/>
      </w:pPr>
      <w:r w:rsidDel="00000000" w:rsidR="00000000" w:rsidRPr="00000000">
        <w:rPr>
          <w:rtl w:val="0"/>
        </w:rPr>
        <w:t xml:space="preserve">Mapa regional de potencial de mercado</w:t>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rtl w:val="0"/>
        </w:rPr>
        <w:t xml:space="preserve">Comparativo de concorrentes</w:t>
      </w:r>
    </w:p>
    <w:p w:rsidR="00000000" w:rsidDel="00000000" w:rsidP="00000000" w:rsidRDefault="00000000" w:rsidRPr="00000000" w14:paraId="00000058">
      <w:pPr>
        <w:numPr>
          <w:ilvl w:val="0"/>
          <w:numId w:val="4"/>
        </w:numPr>
        <w:spacing w:after="0" w:afterAutospacing="0" w:before="0" w:beforeAutospacing="0" w:lineRule="auto"/>
        <w:ind w:left="720" w:hanging="360"/>
      </w:pPr>
      <w:r w:rsidDel="00000000" w:rsidR="00000000" w:rsidRPr="00000000">
        <w:rPr>
          <w:rtl w:val="0"/>
        </w:rPr>
        <w:t xml:space="preserve">Indicadores-chave de crescimento</w:t>
      </w:r>
    </w:p>
    <w:p w:rsidR="00000000" w:rsidDel="00000000" w:rsidP="00000000" w:rsidRDefault="00000000" w:rsidRPr="00000000" w14:paraId="00000059">
      <w:pPr>
        <w:numPr>
          <w:ilvl w:val="0"/>
          <w:numId w:val="4"/>
        </w:numPr>
        <w:spacing w:after="240" w:before="0" w:beforeAutospacing="0" w:lineRule="auto"/>
        <w:ind w:left="720" w:hanging="360"/>
      </w:pPr>
      <w:r w:rsidDel="00000000" w:rsidR="00000000" w:rsidRPr="00000000">
        <w:rPr>
          <w:rtl w:val="0"/>
        </w:rPr>
        <w:t xml:space="preserve">Síntese visual das recomendações estratégicas</w:t>
      </w:r>
    </w:p>
    <w:p w:rsidR="00000000" w:rsidDel="00000000" w:rsidP="00000000" w:rsidRDefault="00000000" w:rsidRPr="00000000" w14:paraId="0000005A">
      <w:pPr>
        <w:pStyle w:val="Heading2"/>
        <w:jc w:val="both"/>
        <w:rPr>
          <w:b w:val="1"/>
          <w:bCs w:val="1"/>
        </w:rPr>
      </w:pPr>
      <w:bookmarkStart w:colFirst="0" w:colLast="0" w:name="_25ze2n1kzold" w:id="17"/>
      <w:bookmarkEnd w:id="17"/>
      <w:r w:rsidDel="00000000" w:rsidR="00000000" w:rsidRPr="00000000">
        <w:rPr>
          <w:b w:val="1"/>
          <w:bCs w:val="1"/>
          <w:rtl w:val="0"/>
        </w:rPr>
        <w:t xml:space="preserve">15. Critérios de Sucesso</w:t>
      </w:r>
    </w:p>
    <w:p w:rsidR="00000000" w:rsidDel="00000000" w:rsidP="00000000" w:rsidRDefault="00000000" w:rsidRPr="00000000" w14:paraId="0000005B">
      <w:pPr>
        <w:numPr>
          <w:ilvl w:val="0"/>
          <w:numId w:val="7"/>
        </w:numPr>
        <w:ind w:left="720" w:hanging="360"/>
        <w:jc w:val="both"/>
        <w:rPr>
          <w:u w:val="none"/>
        </w:rPr>
      </w:pPr>
      <w:r w:rsidDel="00000000" w:rsidR="00000000" w:rsidRPr="00000000">
        <w:rPr>
          <w:rtl w:val="0"/>
        </w:rPr>
        <w:t xml:space="preserve">Entregável estratégico estruturado e validado pela empresa</w:t>
      </w:r>
    </w:p>
    <w:p w:rsidR="00000000" w:rsidDel="00000000" w:rsidP="00000000" w:rsidRDefault="00000000" w:rsidRPr="00000000" w14:paraId="0000005C">
      <w:pPr>
        <w:numPr>
          <w:ilvl w:val="0"/>
          <w:numId w:val="7"/>
        </w:numPr>
        <w:ind w:left="720" w:hanging="360"/>
        <w:jc w:val="both"/>
        <w:rPr>
          <w:u w:val="none"/>
        </w:rPr>
      </w:pPr>
      <w:r w:rsidDel="00000000" w:rsidR="00000000" w:rsidRPr="00000000">
        <w:rPr>
          <w:rtl w:val="0"/>
        </w:rPr>
        <w:t xml:space="preserve">Clareza nas recomendações executivas</w:t>
      </w:r>
    </w:p>
    <w:p w:rsidR="00000000" w:rsidDel="00000000" w:rsidP="00000000" w:rsidRDefault="00000000" w:rsidRPr="00000000" w14:paraId="0000005D">
      <w:pPr>
        <w:numPr>
          <w:ilvl w:val="0"/>
          <w:numId w:val="7"/>
        </w:numPr>
        <w:ind w:left="720" w:hanging="360"/>
        <w:jc w:val="both"/>
        <w:rPr>
          <w:u w:val="none"/>
        </w:rPr>
      </w:pPr>
      <w:r w:rsidDel="00000000" w:rsidR="00000000" w:rsidRPr="00000000">
        <w:rPr>
          <w:rtl w:val="0"/>
        </w:rPr>
        <w:t xml:space="preserve">Dashboard funcional e compreensível</w:t>
      </w:r>
    </w:p>
    <w:p w:rsidR="00000000" w:rsidDel="00000000" w:rsidP="00000000" w:rsidRDefault="00000000" w:rsidRPr="00000000" w14:paraId="0000005E">
      <w:pPr>
        <w:numPr>
          <w:ilvl w:val="0"/>
          <w:numId w:val="7"/>
        </w:numPr>
        <w:ind w:left="720" w:hanging="360"/>
        <w:jc w:val="both"/>
        <w:rPr>
          <w:u w:val="none"/>
        </w:rPr>
      </w:pPr>
      <w:r w:rsidDel="00000000" w:rsidR="00000000" w:rsidRPr="00000000">
        <w:rPr>
          <w:rtl w:val="0"/>
        </w:rPr>
        <w:t xml:space="preserve">Alinhamento das conclusões com a realidade operacional da SoloBom</w:t>
      </w: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jc w:val="righ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4591050</wp:posOffset>
          </wp:positionH>
          <wp:positionV relativeFrom="paragraph">
            <wp:posOffset>-209549</wp:posOffset>
          </wp:positionV>
          <wp:extent cx="1641150" cy="609600"/>
          <wp:effectExtent b="0" l="0" r="0" t="0"/>
          <wp:wrapNone/>
          <wp:docPr id="1" name="image1.png"/>
          <a:graphic>
            <a:graphicData uri="http://schemas.openxmlformats.org/drawingml/2006/picture">
              <pic:pic>
                <pic:nvPicPr>
                  <pic:cNvPr id="0" name="image1.png"/>
                  <pic:cNvPicPr preferRelativeResize="0"/>
                </pic:nvPicPr>
                <pic:blipFill>
                  <a:blip r:embed="rId1"/>
                  <a:srcRect b="34800" l="0" r="15952" t="34400"/>
                  <a:stretch>
                    <a:fillRect/>
                  </a:stretch>
                </pic:blipFill>
                <pic:spPr>
                  <a:xfrm>
                    <a:off x="0" y="0"/>
                    <a:ext cx="1641150" cy="609600"/>
                  </a:xfrm>
                  <a:prstGeom prst="rect"/>
                  <a:ln/>
                </pic:spPr>
              </pic:pic>
            </a:graphicData>
          </a:graphic>
        </wp:anchor>
      </w:drawing>
    </w:r>
  </w:p>
  <w:p w:rsidR="00000000" w:rsidDel="00000000" w:rsidP="00000000" w:rsidRDefault="00000000" w:rsidRPr="00000000" w14:paraId="00000060">
    <w:pPr>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