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[ DISTRIBUTOR LETTERHEAD ]</w:t>
      </w:r>
    </w:p>
    <w:p>
      <w:r>
        <w:rPr>
          <w:b/>
          <w:color w:val="1A1A1A"/>
          <w:sz w:val="48"/>
        </w:rPr>
        <w:t>Dealer Credit Risk Card</w:t>
      </w:r>
    </w:p>
    <w:p>
      <w:r>
        <w:rPr>
          <w:i/>
          <w:color w:val="666666"/>
          <w:sz w:val="18"/>
        </w:rPr>
        <w:t>Generated from historical payment data — internal decision support only</w:t>
      </w:r>
    </w:p>
    <w:p/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Dealer Name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Bismillah Store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City / Territory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Bahawalpur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Sector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Unspecified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Assigned Salesman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Junaid Chaudhry (SO-102)</w:t>
            </w:r>
          </w:p>
        </w:tc>
      </w:tr>
    </w:tbl>
    <w:p/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2F2"/>
          </w:tcPr>
          <w:p>
            <w:r>
              <w:rPr>
                <w:color w:val="666666"/>
                <w:sz w:val="18"/>
              </w:rPr>
              <w:t>CREDIT SCORE</w:t>
              <w:br/>
            </w:r>
            <w:r>
              <w:rPr>
                <w:b/>
                <w:color w:val="B8860B"/>
                <w:sz w:val="68"/>
              </w:rPr>
              <w:t>619</w:t>
              <w:br/>
            </w:r>
            <w:r>
              <w:rPr>
                <w:color w:val="666666"/>
                <w:sz w:val="16"/>
              </w:rPr>
              <w:t>out of 300–900</w:t>
            </w:r>
          </w:p>
        </w:tc>
        <w:tc>
          <w:tcPr>
            <w:tcW w:type="dxa" w:w="4824"/>
            <w:shd w:val="clear" w:color="auto" w:fill="F2F2F2"/>
          </w:tcPr>
          <w:p>
            <w:r>
              <w:rPr>
                <w:color w:val="666666"/>
                <w:sz w:val="18"/>
              </w:rPr>
              <w:t>RISK FLAG</w:t>
              <w:br/>
            </w:r>
            <w:r>
              <w:rPr>
                <w:b/>
                <w:color w:val="B8860B"/>
                <w:sz w:val="32"/>
              </w:rPr>
              <w:t>AMBER — Moderate</w:t>
              <w:br/>
            </w:r>
            <w:r>
              <w:rPr>
                <w:color w:val="666666"/>
                <w:sz w:val="16"/>
              </w:rPr>
              <w:t>Model confidence (ranking, not exact probability): 93.2%</w:t>
            </w:r>
          </w:p>
        </w:tc>
      </w:tr>
    </w:tbl>
    <w:p/>
    <w:p>
      <w:r>
        <w:rPr>
          <w:b/>
          <w:color w:val="1A1A1A"/>
          <w:sz w:val="28"/>
        </w:rPr>
        <w:t>Key Contributing Factors</w:t>
      </w:r>
    </w:p>
    <w:p>
      <w:r>
        <w:rPr>
          <w:b/>
          <w:sz w:val="21"/>
        </w:rPr>
        <w:t>1. Increases risk — Late and inconsistent payment timing</w:t>
      </w:r>
    </w:p>
    <w:p>
      <w:r>
        <w:rPr>
          <w:b/>
          <w:sz w:val="21"/>
        </w:rPr>
        <w:t>2. Increases risk — Salesman's track record with similar dealers</w:t>
      </w:r>
    </w:p>
    <w:p>
      <w:r>
        <w:rPr>
          <w:b/>
          <w:sz w:val="21"/>
        </w:rPr>
        <w:t>3. Reduces risk — Inflation-adjusted credit exposure</w:t>
      </w:r>
    </w:p>
    <w:p/>
    <w:p>
      <w:r>
        <w:rPr>
          <w:b/>
          <w:color w:val="1A1A1A"/>
          <w:sz w:val="28"/>
        </w:rPr>
        <w:t>Recommended Action</w:t>
      </w:r>
    </w:p>
    <w:p>
      <w:r>
        <w:rPr>
          <w:sz w:val="21"/>
        </w:rPr>
        <w:t>Maintain current credit limit. Monitor closely and reassess in 3 months.</w:t>
      </w:r>
    </w:p>
    <w:p/>
    <w:p>
      <w:r>
        <w:rPr>
          <w:i/>
          <w:color w:val="666666"/>
          <w:sz w:val="16"/>
        </w:rPr>
        <w:t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