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[ DISTRIBUTOR LETTERHEAD ]</w:t>
      </w:r>
    </w:p>
    <w:p>
      <w:r>
        <w:rPr>
          <w:b/>
          <w:color w:val="1A1A1A"/>
          <w:sz w:val="48"/>
        </w:rPr>
        <w:t>Dealer Credit Risk Card</w:t>
      </w:r>
    </w:p>
    <w:p>
      <w:r>
        <w:rPr>
          <w:i/>
          <w:color w:val="666666"/>
          <w:sz w:val="18"/>
        </w:rPr>
        <w:t>Generated from historical payment data — internal decision support only</w:t>
      </w:r>
    </w:p>
    <w:p/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Dealer Name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Indus Traders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City / Territory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Bahawalpur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Sector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Unspecified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Assigned Salesman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Muhammad Butt (SO-105)</w:t>
            </w:r>
          </w:p>
        </w:tc>
      </w:tr>
    </w:tbl>
    <w:p/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2F2F2"/>
          </w:tcPr>
          <w:p>
            <w:r>
              <w:rPr>
                <w:color w:val="666666"/>
                <w:sz w:val="18"/>
              </w:rPr>
              <w:t>CREDIT SCORE</w:t>
              <w:br/>
            </w:r>
            <w:r>
              <w:rPr>
                <w:b/>
                <w:color w:val="C0392B"/>
                <w:sz w:val="68"/>
              </w:rPr>
              <w:t>534</w:t>
              <w:br/>
            </w:r>
            <w:r>
              <w:rPr>
                <w:color w:val="666666"/>
                <w:sz w:val="16"/>
              </w:rPr>
              <w:t>out of 300–900</w:t>
            </w:r>
          </w:p>
        </w:tc>
        <w:tc>
          <w:tcPr>
            <w:tcW w:type="dxa" w:w="4824"/>
            <w:shd w:val="clear" w:color="auto" w:fill="F2F2F2"/>
          </w:tcPr>
          <w:p>
            <w:r>
              <w:rPr>
                <w:color w:val="666666"/>
                <w:sz w:val="18"/>
              </w:rPr>
              <w:t>RISK FLAG</w:t>
              <w:br/>
            </w:r>
            <w:r>
              <w:rPr>
                <w:b/>
                <w:color w:val="C0392B"/>
                <w:sz w:val="32"/>
              </w:rPr>
              <w:t>RED — High Risk</w:t>
              <w:br/>
            </w:r>
            <w:r>
              <w:rPr>
                <w:color w:val="666666"/>
                <w:sz w:val="16"/>
              </w:rPr>
              <w:t>Model confidence (ranking, not exact probability): 98.3%</w:t>
            </w:r>
          </w:p>
        </w:tc>
      </w:tr>
    </w:tbl>
    <w:p/>
    <w:p>
      <w:r>
        <w:rPr>
          <w:b/>
          <w:color w:val="1A1A1A"/>
          <w:sz w:val="28"/>
        </w:rPr>
        <w:t>Key Contributing Factors</w:t>
      </w:r>
    </w:p>
    <w:p>
      <w:r>
        <w:rPr>
          <w:b/>
          <w:sz w:val="21"/>
        </w:rPr>
        <w:t>1. Increases risk — Late and inconsistent payment timing</w:t>
      </w:r>
    </w:p>
    <w:p>
      <w:r>
        <w:rPr>
          <w:b/>
          <w:sz w:val="21"/>
        </w:rPr>
        <w:t>2. Reduces risk — Cheque bounce history</w:t>
      </w:r>
    </w:p>
    <w:p>
      <w:r>
        <w:rPr>
          <w:b/>
          <w:sz w:val="21"/>
        </w:rPr>
        <w:t>3. Increases risk — Declining order activity</w:t>
      </w:r>
    </w:p>
    <w:p/>
    <w:p>
      <w:r>
        <w:rPr>
          <w:b/>
          <w:color w:val="1A1A1A"/>
          <w:sz w:val="28"/>
        </w:rPr>
        <w:t>Recommended Action</w:t>
      </w:r>
    </w:p>
    <w:p>
      <w:r>
        <w:rPr>
          <w:sz w:val="21"/>
        </w:rPr>
        <w:t>Do not increase credit limit. Consider requiring partial upfront payment or cash-on-delivery terms on future orders.</w:t>
      </w:r>
    </w:p>
    <w:p/>
    <w:p>
      <w:r>
        <w:rPr>
          <w:i/>
          <w:color w:val="666666"/>
          <w:sz w:val="16"/>
        </w:rPr>
        <w:t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