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Ph-Lahore-0177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Lahore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Aamir Sohail (SM002)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Salesman Relationship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Marked as a trusted / favorite account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571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96.9%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payment pattern (excluding Eid/Ramzan)</w:t>
      </w:r>
    </w:p>
    <w:p>
      <w:pPr>
        <w:spacing w:after="120"/>
      </w:pPr>
      <w:r>
        <w:rPr>
          <w:color w:val="666666"/>
        </w:rPr>
        <w:t xml:space="preserve">Averages 25.4 days late on payments, even outside Eid/Ramzan periods.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Inconsistent / unpredictable payment timing</w:t>
      </w:r>
    </w:p>
    <w:p>
      <w:pPr>
        <w:spacing w:after="120"/>
      </w:pPr>
      <w:r>
        <w:rPr>
          <w:color w:val="666666"/>
        </w:rPr>
        <w:t xml:space="preserve">Payment timing varies by roughly 13.7 days, making cash flow hard to predict.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 Recommend a direct conversation with the assigned salesman given this account's trusted status contradicts the payment record.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2026-07-11T11:44:16.901Z</dcterms:created>
  <dcterms:modified xsi:type="dcterms:W3CDTF">2026-07-11T11:44:16.901Z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