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Ph-Karachi-0007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Karachi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Tariq Mehmood (SM001)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485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99.3%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35.4 days late on payments (excluding Eid/Ramzan), with payment timing varying by roughly 11.7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Salesman's track record with similar dealers</w:t>
      </w:r>
    </w:p>
    <w:p>
      <w:pPr>
        <w:spacing w:after="120"/>
      </w:pPr>
      <w:r>
        <w:rPr>
          <w:color w:val="666666"/>
        </w:rPr>
        <w:t xml:space="preserve">Tariq Mehmood has an elevated default rate among other dealers they manage.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2026-07-12T18:39:11.995Z</dcterms:created>
  <dcterms:modified xsi:type="dcterms:W3CDTF">2026-07-12T18:39:11.996Z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