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FM-Karachi-0028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Karachi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FMCG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Rizwan Malik (SM008)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506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99.0%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28.8 days late on payments (excluding Eid/Ramzan), with payment timing varying by roughly 14.7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Cheque bounce history</w:t>
      </w:r>
    </w:p>
    <w:p>
      <w:pPr>
        <w:spacing w:after="120"/>
      </w:pPr>
      <w:r>
        <w:rPr>
          <w:color w:val="666666"/>
        </w:rPr>
        <w:t xml:space="preserve">Bounced 33.3% of cheques historically.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2026-07-12T18:39:12.054Z</dcterms:created>
  <dcterms:modified xsi:type="dcterms:W3CDTF">2026-07-12T18:39:12.054Z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