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Ph-Karachi-0052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Karachi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Pharma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Imran Yousaf (SM007)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442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99.7%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27.6 days late on payments (excluding Eid/Ramzan), with payment timing varying by roughly 13.5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Increases risk — Declining order activity</w:t>
      </w:r>
    </w:p>
    <w:p>
      <w:pPr>
        <w:spacing w:after="120"/>
      </w:pPr>
      <w:r>
        <w:rPr>
          <w:color w:val="666666"/>
        </w:rPr>
        <w:t xml:space="preserve">Recent order frequency trend is a contributing signal of changing business activity.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Increases risk — Inflation-adjusted credit exposure</w:t>
      </w:r>
    </w:p>
    <w:p>
      <w:pPr>
        <w:spacing w:after="120"/>
      </w:pPr>
      <w:r>
        <w:rPr>
          <w:color w:val="666666"/>
        </w:rPr>
        <w:t xml:space="preserve">Real (PKR-inflation-adjusted) exposure is a contributing factor to this dealer's overall risk sizing.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2026-07-12T18:39:12.150Z</dcterms:created>
  <dcterms:modified xsi:type="dcterms:W3CDTF">2026-07-12T18:39:12.150Z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