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Te-InteriorSindh-0055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1E8449"/>
                <w:sz w:val="56"/>
                <w:szCs w:val="56"/>
              </w:rPr>
              <w:t xml:space="preserve">767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1E8449"/>
                <w:sz w:val="28"/>
                <w:szCs w:val="28"/>
              </w:rPr>
              <w:t xml:space="preserve">🟢 GREEN (Reliable)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51.3%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9.6 days late on payments (excluding Eid/Ramzan), with payment timing varying by roughly 4.4 days — making cash flow hard to predict.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Eligible for credit limit review or increase based on strong payment history.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2026-07-12T13:03:11.197Z</dcterms:created>
  <dcterms:modified xsi:type="dcterms:W3CDTF">2026-07-12T13:03:11.198Z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