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Te-Islamabad-0057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Islamabad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509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98.9%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26.1 days late on payments (excluding Eid/Ramzan), with payment timing varying by roughly 14.9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Elevated risk in dealer's territory</w:t>
      </w:r>
    </w:p>
    <w:p>
      <w:pPr>
        <w:spacing w:after="120"/>
      </w:pPr>
      <w:r>
        <w:rPr>
          <w:color w:val="666666"/>
        </w:rPr>
        <w:t xml:space="preserve">Dealers in Islamabad show above-average risk as a group.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2026-07-12T18:39:12.163Z</dcterms:created>
  <dcterms:modified xsi:type="dcterms:W3CDTF">2026-07-12T18:39:12.163Z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