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FM-Karachi-0099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Karachi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FMCG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Waqas Ahmed (SM006)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507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99.0%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33.4 days late on payments (excluding Eid/Ramzan), with payment timing varying by roughly 10.0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Increases risk — Inflation-adjusted credit exposure</w:t>
      </w:r>
    </w:p>
    <w:p>
      <w:pPr>
        <w:spacing w:after="120"/>
      </w:pPr>
      <w:r>
        <w:rPr>
          <w:color w:val="666666"/>
        </w:rPr>
        <w:t xml:space="preserve">Real (PKR-inflation-adjusted) exposure is a contributing factor to this dealer's overall risk sizing.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Increases risk — Salesman's track record with similar dealers</w:t>
      </w:r>
    </w:p>
    <w:p>
      <w:pPr>
        <w:spacing w:after="120"/>
      </w:pPr>
      <w:r>
        <w:rPr>
          <w:color w:val="666666"/>
        </w:rPr>
        <w:t xml:space="preserve">Waqas Ahmed has an elevated default rate among other dealers they manage.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2026-07-12T18:39:12.256Z</dcterms:created>
  <dcterms:modified xsi:type="dcterms:W3CDTF">2026-07-12T18:39:12.256Z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