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Te-Karachi-0104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Karachi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Textile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Nasir Iqbal (SM004)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532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98.4%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25.4 days late on payments (excluding Eid/Ramzan), with payment timing varying by roughly 13.2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Cheque bounce history</w:t>
      </w:r>
    </w:p>
    <w:p>
      <w:pPr>
        <w:spacing w:after="120"/>
      </w:pPr>
      <w:r>
        <w:rPr>
          <w:color w:val="666666"/>
        </w:rPr>
        <w:t xml:space="preserve">Bounced 28.6% of cheques historically.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Declining order activity</w:t>
      </w:r>
    </w:p>
    <w:p>
      <w:pPr>
        <w:spacing w:after="120"/>
      </w:pPr>
      <w:r>
        <w:rPr>
          <w:color w:val="666666"/>
        </w:rPr>
        <w:t xml:space="preserve">Recent order frequency trend is a contributing signal of changing business activity.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2026-07-12T18:39:12.277Z</dcterms:created>
  <dcterms:modified xsi:type="dcterms:W3CDTF">2026-07-12T18:39:12.277Z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