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  <w:iCs/>
          <w:color w:val="666666"/>
          <w:sz w:val="18"/>
          <w:szCs w:val="18"/>
        </w:rPr>
        <w:t xml:space="preserve">[ DISTRIBUTOR LETTERHEAD ]</w:t>
      </w:r>
    </w:p>
    <w:p>
      <w:pPr>
        <w:spacing w:after="300" w:before="100"/>
      </w:pPr>
      <w:r>
        <w:rPr>
          <w:b/>
          <w:bCs/>
          <w:color w:val="1A1A1A"/>
          <w:sz w:val="40"/>
          <w:szCs w:val="40"/>
        </w:rPr>
        <w:t xml:space="preserve">Dealer Credit Risk Card</w:t>
      </w:r>
    </w:p>
    <w:p>
      <w:pPr>
        <w:pBdr>
          <w:bottom w:val="single" w:color="CCCCCC" w:sz="6"/>
        </w:pBdr>
        <w:spacing w:after="300"/>
      </w:pPr>
      <w:r>
        <w:rPr>
          <w:i/>
          <w:iCs/>
          <w:color w:val="666666"/>
          <w:sz w:val="18"/>
          <w:szCs w:val="18"/>
        </w:rPr>
        <w:t xml:space="preserve">Generated from historical payment data — internal decision support only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Dealer Name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Ph-Karachi-0195 Traders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City / Territory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Karachi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Sector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Pharma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Assigned Salesman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Rizwan Malik (SM008)</w:t>
            </w:r>
          </w:p>
        </w:tc>
      </w:tr>
    </w:tbl>
    <w:p>
      <w:pPr>
        <w:spacing w:before="4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CREDIT SCORE</w:t>
            </w:r>
          </w:p>
          <w:p>
            <w:r>
              <w:rPr>
                <w:b/>
                <w:bCs/>
                <w:color w:val="C0392B"/>
                <w:sz w:val="56"/>
                <w:szCs w:val="56"/>
              </w:rPr>
              <w:t xml:space="preserve">531</w:t>
            </w:r>
          </w:p>
          <w:p>
            <w:r>
              <w:rPr>
                <w:color w:val="666666"/>
                <w:sz w:val="16"/>
                <w:szCs w:val="16"/>
              </w:rPr>
              <w:t xml:space="preserve">out of 300–900</w:t>
            </w:r>
          </w:p>
        </w:tc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RISK FLAG</w:t>
            </w:r>
          </w:p>
          <w:p>
            <w:r>
              <w:rPr>
                <w:b/>
                <w:bCs/>
                <w:color w:val="C0392B"/>
                <w:sz w:val="28"/>
                <w:szCs w:val="28"/>
              </w:rPr>
              <w:t xml:space="preserve">🔴 RED (High Risk)</w:t>
            </w:r>
          </w:p>
          <w:p>
            <w:r>
              <w:rPr>
                <w:color w:val="666666"/>
                <w:sz w:val="15"/>
                <w:szCs w:val="15"/>
              </w:rPr>
              <w:t xml:space="preserve">Model confidence (ranking, not exact probability): 98.4%</w:t>
            </w:r>
          </w:p>
        </w:tc>
      </w:tr>
    </w:tbl>
    <w:p>
      <w:pPr>
        <w:spacing w:after="150" w:before="400"/>
      </w:pPr>
      <w:r>
        <w:rPr>
          <w:b/>
          <w:bCs/>
          <w:color w:val="1A1A1A"/>
          <w:sz w:val="26"/>
          <w:szCs w:val="26"/>
        </w:rPr>
        <w:t xml:space="preserve">Key Contributing Factors</w:t>
      </w:r>
    </w:p>
    <w:p>
      <w:pPr>
        <w:spacing w:after="30"/>
      </w:pPr>
      <w:r>
        <w:rPr>
          <w:b/>
          <w:bCs/>
        </w:rPr>
        <w:t xml:space="preserve">1. </w:t>
      </w:r>
      <w:r>
        <w:rPr>
          <w:b/>
          <w:bCs/>
        </w:rPr>
        <w:t xml:space="preserve">Increases risk — Late and inconsistent payment timing</w:t>
      </w:r>
    </w:p>
    <w:p>
      <w:pPr>
        <w:spacing w:after="120"/>
      </w:pPr>
      <w:r>
        <w:rPr>
          <w:color w:val="666666"/>
        </w:rPr>
        <w:t xml:space="preserve">Averages 17.3 days late on payments (excluding Eid/Ramzan), with payment timing varying by roughly 17.2 days — making cash flow hard to predict.</w:t>
      </w:r>
    </w:p>
    <w:p>
      <w:pPr>
        <w:spacing w:after="30"/>
      </w:pPr>
      <w:r>
        <w:rPr>
          <w:b/>
          <w:bCs/>
        </w:rPr>
        <w:t xml:space="preserve">2. </w:t>
      </w:r>
      <w:r>
        <w:rPr>
          <w:b/>
          <w:bCs/>
        </w:rPr>
        <w:t xml:space="preserve">Reduces risk — Cheque bounce history</w:t>
      </w:r>
    </w:p>
    <w:p>
      <w:pPr>
        <w:spacing w:after="120"/>
      </w:pPr>
      <w:r>
        <w:rPr>
          <w:color w:val="666666"/>
        </w:rPr>
        <w:t xml:space="preserve">Bounced 26.7% of cheques historically.</w:t>
      </w:r>
    </w:p>
    <w:p>
      <w:pPr>
        <w:spacing w:after="30"/>
      </w:pPr>
      <w:r>
        <w:rPr>
          <w:b/>
          <w:bCs/>
        </w:rPr>
        <w:t xml:space="preserve">3. </w:t>
      </w:r>
      <w:r>
        <w:rPr>
          <w:b/>
          <w:bCs/>
        </w:rPr>
        <w:t xml:space="preserve">Reduces risk — Declining order activity</w:t>
      </w:r>
    </w:p>
    <w:p>
      <w:pPr>
        <w:spacing w:after="120"/>
      </w:pPr>
      <w:r>
        <w:rPr>
          <w:color w:val="666666"/>
        </w:rPr>
        <w:t xml:space="preserve">Recent order frequency trend is a contributing signal of changing business activity.</w:t>
      </w:r>
    </w:p>
    <w:p>
      <w:pPr>
        <w:pBdr>
          <w:top w:val="single" w:color="CCCCCC" w:sz="4"/>
        </w:pBdr>
        <w:spacing w:after="150"/>
      </w:pPr>
      <w:r>
        <w:rPr>
          <w:b/>
          <w:bCs/>
          <w:color w:val="1A1A1A"/>
          <w:sz w:val="26"/>
          <w:szCs w:val="26"/>
        </w:rPr>
        <w:t xml:space="preserve">Recommended Action</w:t>
      </w:r>
    </w:p>
    <w:p>
      <w:pPr>
        <w:spacing w:after="300"/>
      </w:pPr>
      <w:r>
        <w:t xml:space="preserve">Do not increase credit limit. Consider requiring partial upfront payment or cash-on-delivery terms on future orders.</w:t>
      </w:r>
    </w:p>
    <w:p>
      <w:pPr>
        <w:pBdr>
          <w:top w:val="single" w:color="CCCCCC" w:sz="4"/>
        </w:pBdr>
        <w:spacing w:before="200"/>
      </w:pPr>
      <w:r>
        <w:rPr>
          <w:i/>
          <w:iCs/>
          <w:color w:val="666666"/>
          <w:sz w:val="16"/>
          <w:szCs w:val="16"/>
        </w:rPr>
        <w:t xml:space="preserve">This score is generated from historical payment behavior only and does not replace human judgment. Risk tier (RED/AMBER/GREEN) reflects the model's relative ranking within this portfolio; the exact numeric score will sharpen in precision as more historical data becomes available.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2026-07-12T18:39:12.385Z</dcterms:created>
  <dcterms:modified xsi:type="dcterms:W3CDTF">2026-07-12T18:39:12.385Z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