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[ DISTRIBUTOR LETTERHEAD ]</w:t>
      </w:r>
    </w:p>
    <w:p>
      <w:r>
        <w:rPr>
          <w:b/>
          <w:color w:val="1A1A1A"/>
          <w:sz w:val="48"/>
        </w:rPr>
        <w:t>Dealer Credit Risk Card</w:t>
      </w:r>
    </w:p>
    <w:p>
      <w:r>
        <w:rPr>
          <w:i/>
          <w:color w:val="666666"/>
          <w:sz w:val="18"/>
        </w:rPr>
        <w:t>Generated from historical payment data — internal decision support only</w:t>
      </w:r>
    </w:p>
    <w:p/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Dealer Name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Ph-Rawalpindi-0080 Traders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City / Territory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Rawalpindi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Sector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Pharma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Assigned Salesman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Rizwan Malik (SM008)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Salesman Relationship</w:t>
            </w:r>
          </w:p>
        </w:tc>
        <w:tc>
          <w:tcPr>
            <w:tcW w:type="dxa" w:w="4824"/>
          </w:tcPr>
          <w:p>
            <w:r>
              <w:rPr>
                <w:b/>
                <w:color w:val="C0392B"/>
                <w:sz w:val="20"/>
              </w:rPr>
              <w:t>Marked as a trusted / favorite account</w:t>
            </w:r>
          </w:p>
        </w:tc>
      </w:tr>
    </w:tbl>
    <w:p/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2F2F2"/>
          </w:tcPr>
          <w:p>
            <w:r>
              <w:rPr>
                <w:color w:val="666666"/>
                <w:sz w:val="18"/>
              </w:rPr>
              <w:t>CREDIT SCORE</w:t>
              <w:br/>
            </w:r>
            <w:r>
              <w:rPr>
                <w:b/>
                <w:color w:val="C0392B"/>
                <w:sz w:val="68"/>
              </w:rPr>
              <w:t>418</w:t>
              <w:br/>
            </w:r>
            <w:r>
              <w:rPr>
                <w:color w:val="666666"/>
                <w:sz w:val="16"/>
              </w:rPr>
              <w:t>out of 300–900</w:t>
            </w:r>
          </w:p>
        </w:tc>
        <w:tc>
          <w:tcPr>
            <w:tcW w:type="dxa" w:w="4824"/>
            <w:shd w:val="clear" w:color="auto" w:fill="F2F2F2"/>
          </w:tcPr>
          <w:p>
            <w:r>
              <w:rPr>
                <w:color w:val="666666"/>
                <w:sz w:val="18"/>
              </w:rPr>
              <w:t>RISK FLAG</w:t>
              <w:br/>
            </w:r>
            <w:r>
              <w:rPr>
                <w:b/>
                <w:color w:val="C0392B"/>
                <w:sz w:val="32"/>
              </w:rPr>
              <w:t>RED — High Risk</w:t>
              <w:br/>
            </w:r>
            <w:r>
              <w:rPr>
                <w:color w:val="666666"/>
                <w:sz w:val="16"/>
              </w:rPr>
              <w:t>Model confidence (ranking, not exact probability): 99.8%</w:t>
            </w:r>
          </w:p>
        </w:tc>
      </w:tr>
    </w:tbl>
    <w:p/>
    <w:p>
      <w:r>
        <w:rPr>
          <w:b/>
          <w:color w:val="1A1A1A"/>
          <w:sz w:val="28"/>
        </w:rPr>
        <w:t>Key Contributing Factors</w:t>
      </w:r>
    </w:p>
    <w:p>
      <w:r>
        <w:rPr>
          <w:b/>
          <w:sz w:val="21"/>
        </w:rPr>
        <w:t>1. Increases risk — Late and inconsistent payment timing</w:t>
      </w:r>
    </w:p>
    <w:p>
      <w:r>
        <w:rPr>
          <w:b/>
          <w:sz w:val="21"/>
        </w:rPr>
        <w:t>2. Reduces risk — Inflation-adjusted credit exposure</w:t>
      </w:r>
    </w:p>
    <w:p>
      <w:r>
        <w:rPr>
          <w:b/>
          <w:sz w:val="21"/>
        </w:rPr>
        <w:t>3. Increases risk — Elevated risk in dealer's territory</w:t>
      </w:r>
    </w:p>
    <w:p/>
    <w:p>
      <w:r>
        <w:rPr>
          <w:b/>
          <w:color w:val="1A1A1A"/>
          <w:sz w:val="28"/>
        </w:rPr>
        <w:t>Recommended Action</w:t>
      </w:r>
    </w:p>
    <w:p>
      <w:r>
        <w:rPr>
          <w:sz w:val="21"/>
        </w:rPr>
        <w:t>Do not increase credit limit. Consider requiring partial upfront payment or cash-on-delivery terms on future orders. Recommend a direct conversation with the assigned salesman given this account's trusted status contradicts the payment record.</w:t>
      </w:r>
    </w:p>
    <w:p/>
    <w:p>
      <w:r>
        <w:rPr>
          <w:i/>
          <w:color w:val="666666"/>
          <w:sz w:val="16"/>
        </w:rPr>
        <w:t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