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C6E"/>
          <w:sz w:val="32"/>
        </w:rPr>
        <w:t>JOSH AND MAK INTERNATIONAL</w:t>
      </w:r>
    </w:p>
    <w:p>
      <w:pPr>
        <w:jc w:val="center"/>
      </w:pPr>
      <w:r>
        <w:rPr>
          <w:i/>
          <w:color w:val="0070A4"/>
          <w:sz w:val="20"/>
        </w:rPr>
        <w:t>Advocates &amp; Legal Consultants — Legal 500 Ranked</w:t>
      </w:r>
    </w:p>
    <w:p>
      <w:pPr>
        <w:jc w:val="center"/>
      </w:pPr>
      <w:r>
        <w:rPr>
          <w:color w:val="0070A4"/>
          <w:sz w:val="18"/>
        </w:rPr>
        <w:t>No. 01, LG Floor, Josh and Mak International, Park Avenue, Hamza Rd, F-11/1, Islamabad, 44000 · +92-304-8734889 · aemen@joshandmak.com</w:t>
      </w:r>
    </w:p>
    <w:p>
      <w:pPr>
        <w:jc w:val="center"/>
      </w:pPr>
      <w:r>
        <w:rPr>
          <w:color w:val="143C6E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43C6E"/>
          <w:sz w:val="36"/>
        </w:rPr>
        <w:t>DUE DILIGENCE REVIEW MEMORANDUM</w:t>
      </w:r>
    </w:p>
    <w:p>
      <w:pPr>
        <w:jc w:val="center"/>
      </w:pPr>
      <w:r>
        <w:rPr>
          <w:color w:val="0070A4"/>
          <w:sz w:val="26"/>
        </w:rPr>
        <w:t>Property Transaction — Islamabad</w:t>
      </w:r>
    </w:p>
    <w:p/>
    <w:p>
      <w:pPr>
        <w:spacing w:before="160" w:after="80"/>
      </w:pPr>
      <w:r>
        <w:rPr>
          <w:b/>
          <w:color w:val="143C6E"/>
          <w:sz w:val="26"/>
        </w:rPr>
        <w:t>1. Transaction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Prepared by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Josh and Mak International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Date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04 July 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Transaction type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City / Authority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Islamabad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Documents reviewed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Questions assessed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spacing w:before="160" w:after="80"/>
      </w:pPr>
      <w:r>
        <w:rPr>
          <w:b/>
          <w:color w:val="143C6E"/>
          <w:sz w:val="26"/>
        </w:rPr>
        <w:t>2. Risk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color w:val="AA2323"/>
                <w:sz w:val="20"/>
              </w:rPr>
              <w:t>🔴 HIGH Risk</w:t>
              <w:br/>
              <w:t>0 item(s)</w:t>
            </w:r>
          </w:p>
        </w:tc>
        <w:tc>
          <w:tcPr>
            <w:tcW w:type="dxa" w:w="3041"/>
          </w:tcPr>
          <w:p>
            <w:r>
              <w:rPr>
                <w:b/>
                <w:color w:val="B85C00"/>
                <w:sz w:val="20"/>
              </w:rPr>
              <w:t>🟡 MEDIUM Risk</w:t>
              <w:br/>
              <w:t>15 item(s)</w:t>
            </w:r>
          </w:p>
        </w:tc>
        <w:tc>
          <w:tcPr>
            <w:tcW w:type="dxa" w:w="3041"/>
          </w:tcPr>
          <w:p>
            <w:r>
              <w:rPr>
                <w:b/>
                <w:color w:val="1E6E37"/>
                <w:sz w:val="20"/>
              </w:rPr>
              <w:t>🟢 LOW Risk</w:t>
              <w:br/>
              <w:t>0 item(s)</w:t>
            </w:r>
          </w:p>
        </w:tc>
      </w:tr>
    </w:tbl>
    <w:p/>
    <w:p>
      <w:pPr>
        <w:spacing w:before="160" w:after="80"/>
      </w:pPr>
      <w:r>
        <w:rPr>
          <w:b/>
          <w:color w:val="143C6E"/>
          <w:sz w:val="26"/>
        </w:rPr>
        <w:t>3. Red Flags Detected</w:t>
      </w:r>
    </w:p>
    <w:p>
      <w:r>
        <w:rPr>
          <w:color w:val="1E6E37"/>
        </w:rPr>
        <w:t>No critical red flags detected.</w:t>
      </w:r>
    </w:p>
    <w:p/>
    <w:p>
      <w:pPr>
        <w:spacing w:before="160" w:after="80"/>
      </w:pPr>
      <w:r>
        <w:rPr>
          <w:b/>
          <w:color w:val="143C6E"/>
          <w:sz w:val="26"/>
        </w:rPr>
        <w:t>4. Clause-by-Clause Findings</w:t>
      </w:r>
    </w:p>
    <w:p>
      <w:r>
        <w:rPr>
          <w:b/>
          <w:color w:val="143C6E"/>
          <w:sz w:val="22"/>
        </w:rPr>
        <w:t>Q1. Is the title deed present and registered in the name of the vendor? Verify Registry number, Sub-Registrar office, and 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Q2. Is the property free from all encumbrances, mortgages, charges, or liens? Check for any bank charges or third-party clai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24 — Protection of property rights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Q3. Are all required NOCs present — from LDA/CDA/RDA/TMA and all relevant local authorities? Identify which authority issued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24 — Protection of property rights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Q4. Are the property boundaries, Khasra number, Khata number, and area measurements consistent across all submitted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Q5. Is there any ongoing or threatened litigation, court order, injunction, or caveat against the property or the vendor?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24 — Protection of property rights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Q6. Is the sale consideration consistent across all documents? Is it supported by bank evidence, pay orders, or payment rece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Q7. Are all signatures, attestations, thumb impressions, and notarial certifications present and valid on all documents?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Q8. Is the land use classification consistent with the intended purpose of acquisition? Check for residential, commercial, 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 xml:space="preserve">Q9. Are utility connections — electricity, gas, water, PTCL — documented and registered in the vendor's name? Are there any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Q10. Are all outstanding property taxes, withholding taxes under Sections 236C and 236K of the Income Tax Ordinance 2001, CVT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property subject to law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Q11. Is the vendor's CNIC number verified and consistent across all transaction documents including the sale deed, NOC, and 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Q12. Are there any co-owners, inherited co-sharers, legal heirs, or third-party interests in the property? If so, is their wr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25 — Equality of citizens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Q13. Is the possession transfer date, handover mechanism, and physical possession status explicitly documented?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Q14. Are all conditions precedent to the transfer clearly identified and confirmed as satisfied? List any outstanding conditi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r>
        <w:rPr>
          <w:b/>
          <w:color w:val="143C6E"/>
          <w:sz w:val="22"/>
        </w:rPr>
        <w:t>Q15. Is there a registered mutation (Intiqal) on record from LRMIS? Is the Fard-e-Malkiat consistent with the Registry? Is 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Finding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response received.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Reasoning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Could not parse structured response.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Document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See raw response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Statutory citation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Constitutional basis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Article 23 — Right to acquire and dispose of property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Risk level</w:t>
            </w:r>
          </w:p>
        </w:tc>
        <w:tc>
          <w:tcPr>
            <w:tcW w:type="dxa" w:w="4561"/>
          </w:tcPr>
          <w:p>
            <w:r>
              <w:rPr>
                <w:b w:val="0"/>
                <w:color w:val="B85C00"/>
                <w:sz w:val="20"/>
              </w:rPr>
              <w:t>MEDIUM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Recommendation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Manual review required for this item.</w:t>
            </w:r>
          </w:p>
        </w:tc>
      </w:tr>
    </w:tbl>
    <w:p/>
    <w:p>
      <w:pPr>
        <w:spacing w:before="160" w:after="80"/>
      </w:pPr>
      <w:r>
        <w:rPr>
          <w:b/>
          <w:color w:val="143C6E"/>
          <w:sz w:val="26"/>
        </w:rPr>
        <w:t>5. FBR &amp; AML Compliance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Detected transaction value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Not detected in documents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FBR withholding tax applicable</w:t>
              <w:br/>
              <w:t>(Section 236C/236K — above PKR 5M)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— Below PKR 5,000,000 threshold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Enhanced AML due diligence required</w:t>
              <w:br/>
              <w:t>(AML Act 2010 — above PKR 10M)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— Below PKR 10,000,000 threshold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AML risk indicators detected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None detected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Urdu content detected in documents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— English-only document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color w:val="143C6E"/>
                <w:sz w:val="20"/>
              </w:rPr>
              <w:t>OCR applied to scanned pages</w:t>
            </w:r>
          </w:p>
        </w:tc>
        <w:tc>
          <w:tcPr>
            <w:tcW w:type="dxa" w:w="4561"/>
          </w:tcPr>
          <w:p>
            <w:r>
              <w:rPr>
                <w:b w:val="0"/>
                <w:sz w:val="20"/>
              </w:rPr>
              <w:t>No — All pages are text-based</w:t>
            </w:r>
          </w:p>
        </w:tc>
      </w:tr>
    </w:tbl>
    <w:p/>
    <w:p>
      <w:pPr>
        <w:spacing w:before="160" w:after="80"/>
      </w:pPr>
      <w:r>
        <w:rPr>
          <w:b/>
          <w:color w:val="143C6E"/>
          <w:sz w:val="26"/>
        </w:rPr>
        <w:t>6. Missing Documents</w:t>
      </w:r>
    </w:p>
    <w:p>
      <w:r>
        <w:t>No missing documents identified.</w:t>
      </w:r>
    </w:p>
    <w:p/>
    <w:p>
      <w:pPr>
        <w:spacing w:before="160" w:after="80"/>
      </w:pPr>
      <w:r>
        <w:rPr>
          <w:b/>
          <w:color w:val="143C6E"/>
          <w:sz w:val="26"/>
        </w:rPr>
        <w:t>7. Disclaimer</w:t>
      </w:r>
    </w:p>
    <w:p>
      <w:r>
        <w:rPr>
          <w:color w:val="0070A4"/>
          <w:sz w:val="18"/>
        </w:rPr>
        <w:t>This memorandum has been generated with the assistance of an AI-powered legal review system and must be reviewed, verified, and approved by a qualified Pakistani advocate before being relied upon. It does not constitute legal advice. All findings should be independently verified against original documents.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color w:val="0070A4"/>
        <w:sz w:val="18"/>
      </w:rPr>
      <w:t>Josh and Mak International — Legal Due Diligence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