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C6E"/>
          <w:sz w:val="32"/>
        </w:rPr>
        <w:t>JOSH AND MAK INTERNATIONAL</w:t>
      </w:r>
    </w:p>
    <w:p>
      <w:pPr>
        <w:jc w:val="center"/>
      </w:pPr>
      <w:r>
        <w:rPr>
          <w:i/>
          <w:color w:val="0070A4"/>
          <w:sz w:val="20"/>
        </w:rPr>
        <w:t>Advocates &amp; Legal Consultants — Legal 500 Ranked</w:t>
      </w:r>
    </w:p>
    <w:p>
      <w:pPr>
        <w:jc w:val="center"/>
      </w:pPr>
      <w:r>
        <w:rPr>
          <w:color w:val="0070A4"/>
          <w:sz w:val="18"/>
        </w:rPr>
        <w:t>No. 01, LG Floor, Josh and Mak International, Park Avenue, Hamza Rd, F-11/1, Islamabad, 44000 · +92-304-8734889 · aemen@joshandmak.com</w:t>
      </w:r>
    </w:p>
    <w:p>
      <w:pPr>
        <w:jc w:val="center"/>
      </w:pPr>
      <w:r>
        <w:rPr>
          <w:color w:val="143C6E"/>
          <w:sz w:val="16"/>
        </w:rPr>
        <w:t>────────────────────────────────────────────────────────────</w:t>
      </w:r>
    </w:p>
    <w:p/>
    <w:p>
      <w:pPr>
        <w:jc w:val="center"/>
      </w:pPr>
      <w:r>
        <w:rPr>
          <w:b/>
          <w:color w:val="143C6E"/>
          <w:sz w:val="36"/>
        </w:rPr>
        <w:t>DUE DILIGENCE REVIEW MEMORANDUM</w:t>
      </w:r>
    </w:p>
    <w:p>
      <w:pPr>
        <w:jc w:val="center"/>
      </w:pPr>
      <w:r>
        <w:rPr>
          <w:color w:val="0070A4"/>
          <w:sz w:val="26"/>
        </w:rPr>
        <w:t>Property Transaction — Islamabad</w:t>
      </w:r>
    </w:p>
    <w:p/>
    <w:p>
      <w:pPr>
        <w:spacing w:before="160" w:after="80"/>
      </w:pPr>
      <w:r>
        <w:rPr>
          <w:b/>
          <w:color w:val="143C6E"/>
          <w:sz w:val="26"/>
        </w:rPr>
        <w:t>1. Transaction Summary</w:t>
      </w:r>
    </w:p>
    <w:tbl>
      <w:tblPr>
        <w:tblStyle w:val="TableGrid"/>
        <w:tblW w:type="auto" w:w="0"/>
        <w:jc w:val="left"/>
        <w:tblLook w:firstColumn="1" w:firstRow="1" w:lastColumn="0" w:lastRow="0" w:noHBand="0" w:noVBand="1" w:val="04A0"/>
      </w:tblPr>
      <w:tblGrid>
        <w:gridCol w:w="4561"/>
        <w:gridCol w:w="4561"/>
      </w:tblGrid>
      <w:tr>
        <w:tc>
          <w:tcPr>
            <w:tcW w:type="dxa" w:w="4561"/>
          </w:tcPr>
          <w:p>
            <w:r>
              <w:rPr>
                <w:b/>
                <w:color w:val="143C6E"/>
                <w:sz w:val="20"/>
              </w:rPr>
              <w:t>Prepared by</w:t>
            </w:r>
          </w:p>
        </w:tc>
        <w:tc>
          <w:tcPr>
            <w:tcW w:type="dxa" w:w="4561"/>
          </w:tcPr>
          <w:p>
            <w:r>
              <w:rPr>
                <w:b w:val="0"/>
                <w:sz w:val="20"/>
              </w:rPr>
              <w:t>Josh and Mak International</w:t>
            </w:r>
          </w:p>
        </w:tc>
      </w:tr>
      <w:tr>
        <w:tc>
          <w:tcPr>
            <w:tcW w:type="dxa" w:w="4561"/>
          </w:tcPr>
          <w:p>
            <w:r>
              <w:rPr>
                <w:b/>
                <w:color w:val="143C6E"/>
                <w:sz w:val="20"/>
              </w:rPr>
              <w:t>Date</w:t>
            </w:r>
          </w:p>
        </w:tc>
        <w:tc>
          <w:tcPr>
            <w:tcW w:type="dxa" w:w="4561"/>
          </w:tcPr>
          <w:p>
            <w:r>
              <w:rPr>
                <w:b w:val="0"/>
                <w:sz w:val="20"/>
              </w:rPr>
              <w:t>04 July 2026</w:t>
            </w:r>
          </w:p>
        </w:tc>
      </w:tr>
      <w:tr>
        <w:tc>
          <w:tcPr>
            <w:tcW w:type="dxa" w:w="4561"/>
          </w:tcPr>
          <w:p>
            <w:r>
              <w:rPr>
                <w:b/>
                <w:color w:val="143C6E"/>
                <w:sz w:val="20"/>
              </w:rPr>
              <w:t>Transaction type</w:t>
            </w:r>
          </w:p>
        </w:tc>
        <w:tc>
          <w:tcPr>
            <w:tcW w:type="dxa" w:w="4561"/>
          </w:tcPr>
          <w:p>
            <w:r>
              <w:rPr>
                <w:b w:val="0"/>
                <w:sz w:val="20"/>
              </w:rPr>
              <w:t>Property</w:t>
            </w:r>
          </w:p>
        </w:tc>
      </w:tr>
      <w:tr>
        <w:tc>
          <w:tcPr>
            <w:tcW w:type="dxa" w:w="4561"/>
          </w:tcPr>
          <w:p>
            <w:r>
              <w:rPr>
                <w:b/>
                <w:color w:val="143C6E"/>
                <w:sz w:val="20"/>
              </w:rPr>
              <w:t>City / Authority</w:t>
            </w:r>
          </w:p>
        </w:tc>
        <w:tc>
          <w:tcPr>
            <w:tcW w:type="dxa" w:w="4561"/>
          </w:tcPr>
          <w:p>
            <w:r>
              <w:rPr>
                <w:b w:val="0"/>
                <w:sz w:val="20"/>
              </w:rPr>
              <w:t>Islamabad</w:t>
            </w:r>
          </w:p>
        </w:tc>
      </w:tr>
      <w:tr>
        <w:tc>
          <w:tcPr>
            <w:tcW w:type="dxa" w:w="4561"/>
          </w:tcPr>
          <w:p>
            <w:r>
              <w:rPr>
                <w:b/>
                <w:color w:val="143C6E"/>
                <w:sz w:val="20"/>
              </w:rPr>
              <w:t>Documents reviewed</w:t>
            </w:r>
          </w:p>
        </w:tc>
        <w:tc>
          <w:tcPr>
            <w:tcW w:type="dxa" w:w="4561"/>
          </w:tcPr>
          <w:p>
            <w:r>
              <w:rPr>
                <w:b w:val="0"/>
                <w:sz w:val="20"/>
              </w:rPr>
              <w:t>1</w:t>
            </w:r>
          </w:p>
        </w:tc>
      </w:tr>
      <w:tr>
        <w:tc>
          <w:tcPr>
            <w:tcW w:type="dxa" w:w="4561"/>
          </w:tcPr>
          <w:p>
            <w:r>
              <w:rPr>
                <w:b/>
                <w:color w:val="143C6E"/>
                <w:sz w:val="20"/>
              </w:rPr>
              <w:t>Questions assessed</w:t>
            </w:r>
          </w:p>
        </w:tc>
        <w:tc>
          <w:tcPr>
            <w:tcW w:type="dxa" w:w="4561"/>
          </w:tcPr>
          <w:p>
            <w:r>
              <w:rPr>
                <w:b w:val="0"/>
                <w:sz w:val="20"/>
              </w:rPr>
              <w:t>15</w:t>
            </w:r>
          </w:p>
        </w:tc>
      </w:tr>
    </w:tbl>
    <w:p/>
    <w:p>
      <w:pPr>
        <w:spacing w:before="160" w:after="80"/>
      </w:pPr>
      <w:r>
        <w:rPr>
          <w:b/>
          <w:color w:val="143C6E"/>
          <w:sz w:val="26"/>
        </w:rPr>
        <w:t>2. Risk Summary</w:t>
      </w:r>
    </w:p>
    <w:tbl>
      <w:tblPr>
        <w:tblStyle w:val="TableGrid"/>
        <w:tblW w:type="auto" w:w="0"/>
        <w:jc w:val="left"/>
        <w:tblLook w:firstColumn="1" w:firstRow="1" w:lastColumn="0" w:lastRow="0" w:noHBand="0" w:noVBand="1" w:val="04A0"/>
      </w:tblPr>
      <w:tblGrid>
        <w:gridCol w:w="3041"/>
        <w:gridCol w:w="3041"/>
        <w:gridCol w:w="3041"/>
      </w:tblGrid>
      <w:tr>
        <w:tc>
          <w:tcPr>
            <w:tcW w:type="dxa" w:w="3041"/>
          </w:tcPr>
          <w:p>
            <w:r>
              <w:rPr>
                <w:b/>
                <w:color w:val="AA2323"/>
                <w:sz w:val="20"/>
              </w:rPr>
              <w:t>🔴 HIGH Risk</w:t>
              <w:br/>
              <w:t>5 item(s)</w:t>
            </w:r>
          </w:p>
        </w:tc>
        <w:tc>
          <w:tcPr>
            <w:tcW w:type="dxa" w:w="3041"/>
          </w:tcPr>
          <w:p>
            <w:r>
              <w:rPr>
                <w:b/>
                <w:color w:val="B85C00"/>
                <w:sz w:val="20"/>
              </w:rPr>
              <w:t>🟡 MEDIUM Risk</w:t>
              <w:br/>
              <w:t>0 item(s)</w:t>
            </w:r>
          </w:p>
        </w:tc>
        <w:tc>
          <w:tcPr>
            <w:tcW w:type="dxa" w:w="3041"/>
          </w:tcPr>
          <w:p>
            <w:r>
              <w:rPr>
                <w:b/>
                <w:color w:val="1E6E37"/>
                <w:sz w:val="20"/>
              </w:rPr>
              <w:t>🟢 LOW Risk</w:t>
              <w:br/>
              <w:t>10 item(s)</w:t>
            </w:r>
          </w:p>
        </w:tc>
      </w:tr>
    </w:tbl>
    <w:p/>
    <w:p>
      <w:pPr>
        <w:spacing w:before="160" w:after="80"/>
      </w:pPr>
      <w:r>
        <w:rPr>
          <w:b/>
          <w:color w:val="143C6E"/>
          <w:sz w:val="26"/>
        </w:rPr>
        <w:t>3. Red Flags Detected</w:t>
      </w:r>
    </w:p>
    <w:p>
      <w:pPr>
        <w:pStyle w:val="ListBullet"/>
      </w:pPr>
      <w:r>
        <w:rPr>
          <w:b/>
          <w:color w:val="AA2323"/>
        </w:rPr>
        <w:t>[RF003] Undisclosed litigation or court order</w:t>
      </w:r>
      <w:r>
        <w:rPr>
          <w:color w:val="0070A4"/>
          <w:sz w:val="18"/>
        </w:rPr>
        <w:br/>
        <w:t xml:space="preserve">    Statute: Transfer of Property Act 1882, Section 52</w:t>
        <w:br/>
        <w:t xml:space="preserve">    Constitutional basis: Article 24 — Protection of property rights</w:t>
      </w:r>
    </w:p>
    <w:p>
      <w:pPr>
        <w:pStyle w:val="ListBullet"/>
      </w:pPr>
      <w:r>
        <w:rPr>
          <w:b/>
          <w:color w:val="AA2323"/>
        </w:rPr>
        <w:t>[RF004] Third-party or co-owner interest without consent</w:t>
      </w:r>
      <w:r>
        <w:rPr>
          <w:color w:val="0070A4"/>
          <w:sz w:val="18"/>
        </w:rPr>
        <w:br/>
        <w:t xml:space="preserve">    Statute: Muslim Family Laws Ordinance 1961</w:t>
        <w:br/>
        <w:t xml:space="preserve">    Constitutional basis: Article 25 — Equality of citizens</w:t>
      </w:r>
    </w:p>
    <w:p>
      <w:pPr>
        <w:pStyle w:val="ListBullet"/>
      </w:pPr>
      <w:r>
        <w:rPr>
          <w:b/>
          <w:color w:val="AA2323"/>
        </w:rPr>
        <w:t>[RF007] Missing mutation (Intiqal) record</w:t>
      </w:r>
      <w:r>
        <w:rPr>
          <w:color w:val="0070A4"/>
          <w:sz w:val="18"/>
        </w:rPr>
        <w:br/>
        <w:t xml:space="preserve">    Statute: Land Revenue Act 1967</w:t>
        <w:br/>
        <w:t xml:space="preserve">    Constitutional basis: Article 23 — Right to acquire and dispose of property</w:t>
      </w:r>
    </w:p>
    <w:p/>
    <w:p>
      <w:pPr>
        <w:spacing w:before="160" w:after="80"/>
      </w:pPr>
      <w:r>
        <w:rPr>
          <w:b/>
          <w:color w:val="143C6E"/>
          <w:sz w:val="26"/>
        </w:rPr>
        <w:t>4. Clause-by-Clause Findings</w:t>
      </w:r>
    </w:p>
    <w:p>
      <w:r>
        <w:rPr>
          <w:b/>
          <w:color w:val="143C6E"/>
          <w:sz w:val="22"/>
        </w:rPr>
        <w:t>Q1. Is the title deed present and registered in the name of the vendor? Verify Registry number, Sub-Registrar office, and re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title deed, registration details, or information about the vendor's ownership.</w:t>
            </w:r>
          </w:p>
        </w:tc>
      </w:tr>
      <w:tr>
        <w:tc>
          <w:tcPr>
            <w:tcW w:type="dxa" w:w="4561"/>
          </w:tcPr>
          <w:p>
            <w:r>
              <w:rPr>
                <w:b/>
                <w:color w:val="143C6E"/>
                <w:sz w:val="20"/>
              </w:rPr>
              <w:t>Reasoning</w:t>
            </w:r>
          </w:p>
        </w:tc>
        <w:tc>
          <w:tcPr>
            <w:tcW w:type="dxa" w:w="4561"/>
          </w:tcPr>
          <w:p>
            <w:r>
              <w:rPr>
                <w:b w:val="0"/>
                <w:sz w:val="20"/>
              </w:rPr>
              <w:t>A review of the supplied PDFs (P2_ML.pdf pages 2-5) reveals only project requirements for an AI/ML internship and no property or registration records. Consequently, no registry number, Sub‑Registrar office, or registration date can be extracted.</w:t>
            </w:r>
          </w:p>
        </w:tc>
      </w:tr>
      <w:tr>
        <w:tc>
          <w:tcPr>
            <w:tcW w:type="dxa" w:w="4561"/>
          </w:tcPr>
          <w:p>
            <w:r>
              <w:rPr>
                <w:b/>
                <w:color w:val="143C6E"/>
                <w:sz w:val="20"/>
              </w:rPr>
              <w:t>Document citation</w:t>
            </w:r>
          </w:p>
        </w:tc>
        <w:tc>
          <w:tcPr>
            <w:tcW w:type="dxa" w:w="4561"/>
          </w:tcPr>
          <w:p>
            <w:r>
              <w:rPr>
                <w:b w:val="0"/>
                <w:sz w:val="20"/>
              </w:rPr>
              <w:t>N/A</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the actual title deed and registration certificate from the vendor or the relevant Sub‑Registrar office to verify ownership, registry number, and registration date.</w:t>
            </w:r>
          </w:p>
        </w:tc>
      </w:tr>
    </w:tbl>
    <w:p/>
    <w:p>
      <w:r>
        <w:rPr>
          <w:b/>
          <w:color w:val="143C6E"/>
          <w:sz w:val="22"/>
        </w:rPr>
        <w:t>Q2. Is the property free from all encumbrances, mortgages, charges, or liens? Check for any bank charges or third-party clai</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property title, encumbrance, mortgage, charge, or lien information.</w:t>
            </w:r>
          </w:p>
        </w:tc>
      </w:tr>
      <w:tr>
        <w:tc>
          <w:tcPr>
            <w:tcW w:type="dxa" w:w="4561"/>
          </w:tcPr>
          <w:p>
            <w:r>
              <w:rPr>
                <w:b/>
                <w:color w:val="143C6E"/>
                <w:sz w:val="20"/>
              </w:rPr>
              <w:t>Reasoning</w:t>
            </w:r>
          </w:p>
        </w:tc>
        <w:tc>
          <w:tcPr>
            <w:tcW w:type="dxa" w:w="4561"/>
          </w:tcPr>
          <w:p>
            <w:r>
              <w:rPr>
                <w:b w:val="0"/>
                <w:sz w:val="20"/>
              </w:rPr>
              <w:t>The context consists of an AI/ML internship problem statement describing a document review solution for law firms. No specific property documents, title deeds, or related clauses were presented. Therefore, no evidence can be found to confirm whether the property is free of encumbrances, mortgages, charges, or third‑party claims.</w:t>
            </w:r>
          </w:p>
        </w:tc>
      </w:tr>
      <w:tr>
        <w:tc>
          <w:tcPr>
            <w:tcW w:type="dxa" w:w="4561"/>
          </w:tcPr>
          <w:p>
            <w:r>
              <w:rPr>
                <w:b/>
                <w:color w:val="143C6E"/>
                <w:sz w:val="20"/>
              </w:rPr>
              <w:t>Document citation</w:t>
            </w:r>
          </w:p>
        </w:tc>
        <w:tc>
          <w:tcPr>
            <w:tcW w:type="dxa" w:w="4561"/>
          </w:tcPr>
          <w:p>
            <w:r>
              <w:rPr>
                <w:b w:val="0"/>
                <w:sz w:val="20"/>
              </w:rPr>
              <w:t>P2_ML.pdf, pages 2‑5 (no property-specific content)</w:t>
            </w:r>
          </w:p>
        </w:tc>
      </w:tr>
      <w:tr>
        <w:tc>
          <w:tcPr>
            <w:tcW w:type="dxa" w:w="4561"/>
          </w:tcPr>
          <w:p>
            <w:r>
              <w:rPr>
                <w:b/>
                <w:color w:val="143C6E"/>
                <w:sz w:val="20"/>
              </w:rPr>
              <w:t>Statutory citation</w:t>
            </w:r>
          </w:p>
        </w:tc>
        <w:tc>
          <w:tcPr>
            <w:tcW w:type="dxa" w:w="4561"/>
          </w:tcPr>
          <w:p>
            <w:r>
              <w:rPr>
                <w:b w:val="0"/>
                <w:sz w:val="20"/>
              </w:rPr>
              <w:t>Transfer of Property Act, 1882, Section 5 (definition of 'property' and requirement of clear title)</w:t>
            </w:r>
          </w:p>
        </w:tc>
      </w:tr>
      <w:tr>
        <w:tc>
          <w:tcPr>
            <w:tcW w:type="dxa" w:w="4561"/>
          </w:tcPr>
          <w:p>
            <w:r>
              <w:rPr>
                <w:b/>
                <w:color w:val="143C6E"/>
                <w:sz w:val="20"/>
              </w:rPr>
              <w:t>Constitutional basis</w:t>
            </w:r>
          </w:p>
        </w:tc>
        <w:tc>
          <w:tcPr>
            <w:tcW w:type="dxa" w:w="4561"/>
          </w:tcPr>
          <w:p>
            <w:r>
              <w:rPr>
                <w:b w:val="0"/>
                <w:sz w:val="20"/>
              </w:rPr>
              <w:t>Article 23, Constitution of Pakistan 1973 (right to acquire, hold and dispose of property)</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and review the property's title deed, encumbrance certificate, mortgage agreements, bank charge statements, and any third‑party claim documents. Conduct a thorough title search and verify the absence of liens or charges before proceeding.</w:t>
            </w:r>
          </w:p>
        </w:tc>
      </w:tr>
    </w:tbl>
    <w:p/>
    <w:p>
      <w:r>
        <w:rPr>
          <w:b/>
          <w:color w:val="143C6E"/>
          <w:sz w:val="22"/>
        </w:rPr>
        <w:t>Q3. Are all required NOCs present — from LDA/CDA/RDA/TMA and all relevant local authorities? Identify which authority issued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information regarding NOCs from LDA, CDA, RDA, TMA, or any other local authority is found in the provided documents.</w:t>
            </w:r>
          </w:p>
        </w:tc>
      </w:tr>
      <w:tr>
        <w:tc>
          <w:tcPr>
            <w:tcW w:type="dxa" w:w="4561"/>
          </w:tcPr>
          <w:p>
            <w:r>
              <w:rPr>
                <w:b/>
                <w:color w:val="143C6E"/>
                <w:sz w:val="20"/>
              </w:rPr>
              <w:t>Reasoning</w:t>
            </w:r>
          </w:p>
        </w:tc>
        <w:tc>
          <w:tcPr>
            <w:tcW w:type="dxa" w:w="4561"/>
          </w:tcPr>
          <w:p>
            <w:r>
              <w:rPr>
                <w:b w:val="0"/>
                <w:sz w:val="20"/>
              </w:rPr>
              <w:t>The supplied pages (2, 4, and 5) of P2_ML.pdf contain only project descriptions, sprint timelines, and deliverable checklists for an AI/ML internship problem. They do not mention any NOCs, their issuance, or the authorities involved. Therefore, the required NOC details are absent from the available context.</w:t>
            </w:r>
          </w:p>
        </w:tc>
      </w:tr>
      <w:tr>
        <w:tc>
          <w:tcPr>
            <w:tcW w:type="dxa" w:w="4561"/>
          </w:tcPr>
          <w:p>
            <w:r>
              <w:rPr>
                <w:b/>
                <w:color w:val="143C6E"/>
                <w:sz w:val="20"/>
              </w:rPr>
              <w:t>Document citation</w:t>
            </w:r>
          </w:p>
        </w:tc>
        <w:tc>
          <w:tcPr>
            <w:tcW w:type="dxa" w:w="4561"/>
          </w:tcPr>
          <w:p>
            <w:r>
              <w:rPr>
                <w:b w:val="0"/>
                <w:sz w:val="20"/>
              </w:rPr>
              <w:t>P2_ML.pdf, pages 2, 4, 5</w:t>
            </w:r>
          </w:p>
        </w:tc>
      </w:tr>
      <w:tr>
        <w:tc>
          <w:tcPr>
            <w:tcW w:type="dxa" w:w="4561"/>
          </w:tcPr>
          <w:p>
            <w:r>
              <w:rPr>
                <w:b/>
                <w:color w:val="143C6E"/>
                <w:sz w:val="20"/>
              </w:rPr>
              <w:t>Statutory citation</w:t>
            </w:r>
          </w:p>
        </w:tc>
        <w:tc>
          <w:tcPr>
            <w:tcW w:type="dxa" w:w="4561"/>
          </w:tcPr>
          <w:p>
            <w:r>
              <w:rPr>
                <w:b w:val="0"/>
                <w:sz w:val="20"/>
              </w:rPr>
            </w:r>
          </w:p>
        </w:tc>
      </w:tr>
      <w:tr>
        <w:tc>
          <w:tcPr>
            <w:tcW w:type="dxa" w:w="4561"/>
          </w:tcPr>
          <w:p>
            <w:r>
              <w:rPr>
                <w:b/>
                <w:color w:val="143C6E"/>
                <w:sz w:val="20"/>
              </w:rPr>
              <w:t>Constitutional basis</w:t>
            </w:r>
          </w:p>
        </w:tc>
        <w:tc>
          <w:tcPr>
            <w:tcW w:type="dxa" w:w="4561"/>
          </w:tcPr>
          <w:p>
            <w:r>
              <w:rPr>
                <w:b w:val="0"/>
                <w:sz w:val="20"/>
              </w:rPr>
              <w:t>Article 24 — Protection of property rights</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Request and review the NOCs from each relevant authority (LDA, CDA, RDA, TMA, and any other local bodies). Verify that each NOC is present, correctly signed, and matches the transaction requirements before proceeding with due diligence.</w:t>
            </w:r>
          </w:p>
        </w:tc>
      </w:tr>
    </w:tbl>
    <w:p/>
    <w:p>
      <w:r>
        <w:rPr>
          <w:b/>
          <w:color w:val="143C6E"/>
          <w:sz w:val="22"/>
        </w:rPr>
        <w:t>Q4. Are the property boundaries, Khasra number, Khata number, and area measurements consistent across all submitted document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property boundary descriptions, Khasra numbers, Khata numbers, or area measurements.</w:t>
            </w:r>
          </w:p>
        </w:tc>
      </w:tr>
      <w:tr>
        <w:tc>
          <w:tcPr>
            <w:tcW w:type="dxa" w:w="4561"/>
          </w:tcPr>
          <w:p>
            <w:r>
              <w:rPr>
                <w:b/>
                <w:color w:val="143C6E"/>
                <w:sz w:val="20"/>
              </w:rPr>
              <w:t>Reasoning</w:t>
            </w:r>
          </w:p>
        </w:tc>
        <w:tc>
          <w:tcPr>
            <w:tcW w:type="dxa" w:w="4561"/>
          </w:tcPr>
          <w:p>
            <w:r>
              <w:rPr>
                <w:b w:val="0"/>
                <w:sz w:val="20"/>
              </w:rPr>
              <w:t>A review of the supplied pages (2, 4, and 5 of P2_ML.pdf) reveals only project management and AI/ML development details. No excerpts or tables referencing property specifics such as boundaries, Khasra or Khata identifiers, or measurement data are present. Therefore consistency cannot be assessed.</w:t>
            </w:r>
          </w:p>
        </w:tc>
      </w:tr>
      <w:tr>
        <w:tc>
          <w:tcPr>
            <w:tcW w:type="dxa" w:w="4561"/>
          </w:tcPr>
          <w:p>
            <w:r>
              <w:rPr>
                <w:b/>
                <w:color w:val="143C6E"/>
                <w:sz w:val="20"/>
              </w:rPr>
              <w:t>Document citation</w:t>
            </w:r>
          </w:p>
        </w:tc>
        <w:tc>
          <w:tcPr>
            <w:tcW w:type="dxa" w:w="4561"/>
          </w:tcPr>
          <w:p>
            <w:r>
              <w:rPr>
                <w:b w:val="0"/>
                <w:sz w:val="20"/>
              </w:rPr>
              <w:t>P2_ML.pdf, pages 2-5</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the actual property-related documents (title deed, survey map, Khasra extract, Khata extract, and any measurement certificates) and perform a dedicated consistency check across those files.</w:t>
            </w:r>
          </w:p>
        </w:tc>
      </w:tr>
    </w:tbl>
    <w:p/>
    <w:p>
      <w:r>
        <w:rPr>
          <w:b/>
          <w:color w:val="143C6E"/>
          <w:sz w:val="22"/>
        </w:rPr>
        <w:t>Q5. Is there any ongoing or threatened litigation, court order, injunction, or caveat against the property or the vendor?</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information regarding ongoing or threatened litigation, court orders, injunctions, or caveats against the property or vendor is present in the provided documents.</w:t>
            </w:r>
          </w:p>
        </w:tc>
      </w:tr>
      <w:tr>
        <w:tc>
          <w:tcPr>
            <w:tcW w:type="dxa" w:w="4561"/>
          </w:tcPr>
          <w:p>
            <w:r>
              <w:rPr>
                <w:b/>
                <w:color w:val="143C6E"/>
                <w:sz w:val="20"/>
              </w:rPr>
              <w:t>Reasoning</w:t>
            </w:r>
          </w:p>
        </w:tc>
        <w:tc>
          <w:tcPr>
            <w:tcW w:type="dxa" w:w="4561"/>
          </w:tcPr>
          <w:p>
            <w:r>
              <w:rPr>
                <w:b w:val="0"/>
                <w:sz w:val="20"/>
              </w:rPr>
              <w:t>The supplied context consists solely of a problem statement and solution outline for an AI/ML internship project focused on document review workflow improvements. It contains no references to any specific property, vendor, or legal disputes. Therefore, no evidence of litigation or related court actions can be identified.</w:t>
            </w:r>
          </w:p>
        </w:tc>
      </w:tr>
      <w:tr>
        <w:tc>
          <w:tcPr>
            <w:tcW w:type="dxa" w:w="4561"/>
          </w:tcPr>
          <w:p>
            <w:r>
              <w:rPr>
                <w:b/>
                <w:color w:val="143C6E"/>
                <w:sz w:val="20"/>
              </w:rPr>
              <w:t>Document citation</w:t>
            </w:r>
          </w:p>
        </w:tc>
        <w:tc>
          <w:tcPr>
            <w:tcW w:type="dxa" w:w="4561"/>
          </w:tcPr>
          <w:p>
            <w:r>
              <w:rPr>
                <w:b w:val="0"/>
                <w:sz w:val="20"/>
              </w:rPr>
              <w:t>N/A</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Request a formal title search and litigation/caveat search from the relevant land registry and courts to confirm the absence of any pending or threatened legal actions affecting the property or vendor before proceeding with the transaction.</w:t>
            </w:r>
          </w:p>
        </w:tc>
      </w:tr>
    </w:tbl>
    <w:p/>
    <w:p>
      <w:r>
        <w:rPr>
          <w:b/>
          <w:color w:val="143C6E"/>
          <w:sz w:val="22"/>
        </w:rPr>
        <w:t>Q6. Is the sale consideration consistent across all documents? Is it supported by bank evidence, pay orders, or payment rece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sale agreement, consideration details, or supporting bank evidence, pay orders, or payment receipts.</w:t>
            </w:r>
          </w:p>
        </w:tc>
      </w:tr>
      <w:tr>
        <w:tc>
          <w:tcPr>
            <w:tcW w:type="dxa" w:w="4561"/>
          </w:tcPr>
          <w:p>
            <w:r>
              <w:rPr>
                <w:b/>
                <w:color w:val="143C6E"/>
                <w:sz w:val="20"/>
              </w:rPr>
              <w:t>Reasoning</w:t>
            </w:r>
          </w:p>
        </w:tc>
        <w:tc>
          <w:tcPr>
            <w:tcW w:type="dxa" w:w="4561"/>
          </w:tcPr>
          <w:p>
            <w:r>
              <w:rPr>
                <w:b w:val="0"/>
                <w:sz w:val="20"/>
              </w:rPr>
              <w:t>A review of the source file P2_ML.pdf (pages 2‑5) reveals only a problem statement, proposed AI/ML solution description, and project deliverables. No transaction-specific documents, clauses, or financial evidence are included. Therefore, no information can be extracted regarding the consistency of sale consideration or its supporting documentation.</w:t>
            </w:r>
          </w:p>
        </w:tc>
      </w:tr>
      <w:tr>
        <w:tc>
          <w:tcPr>
            <w:tcW w:type="dxa" w:w="4561"/>
          </w:tcPr>
          <w:p>
            <w:r>
              <w:rPr>
                <w:b/>
                <w:color w:val="143C6E"/>
                <w:sz w:val="20"/>
              </w:rPr>
              <w:t>Document citation</w:t>
            </w:r>
          </w:p>
        </w:tc>
        <w:tc>
          <w:tcPr>
            <w:tcW w:type="dxa" w:w="4561"/>
          </w:tcPr>
          <w:p>
            <w:r>
              <w:rPr>
                <w:b w:val="0"/>
                <w:sz w:val="20"/>
              </w:rPr>
              <w:t>P2_ML.pdf, pages 2-5 (no relevant transaction documents found)</w:t>
            </w:r>
          </w:p>
        </w:tc>
      </w:tr>
      <w:tr>
        <w:tc>
          <w:tcPr>
            <w:tcW w:type="dxa" w:w="4561"/>
          </w:tcPr>
          <w:p>
            <w:r>
              <w:rPr>
                <w:b/>
                <w:color w:val="143C6E"/>
                <w:sz w:val="20"/>
              </w:rPr>
              <w:t>Statutory citation</w:t>
            </w:r>
          </w:p>
        </w:tc>
        <w:tc>
          <w:tcPr>
            <w:tcW w:type="dxa" w:w="4561"/>
          </w:tcPr>
          <w:p>
            <w:r>
              <w:rPr>
                <w:b w:val="0"/>
                <w:sz w:val="20"/>
              </w:rPr>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and review the actual sale agreement, related financial documents (bank statements, pay orders, payment receipts) and any ancillary contracts to verify consistency of the consideration and confirm supporting evidence.</w:t>
            </w:r>
          </w:p>
        </w:tc>
      </w:tr>
    </w:tbl>
    <w:p/>
    <w:p>
      <w:r>
        <w:rPr>
          <w:b/>
          <w:color w:val="143C6E"/>
          <w:sz w:val="22"/>
        </w:rPr>
        <w:t>Q7. Are all signatures, attestations, thumb impressions, and notarial certifications present and valid on all documents?</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the presence or validity of signatures, attestations, thumb impressions, or notarial certifications.</w:t>
            </w:r>
          </w:p>
        </w:tc>
      </w:tr>
      <w:tr>
        <w:tc>
          <w:tcPr>
            <w:tcW w:type="dxa" w:w="4561"/>
          </w:tcPr>
          <w:p>
            <w:r>
              <w:rPr>
                <w:b/>
                <w:color w:val="143C6E"/>
                <w:sz w:val="20"/>
              </w:rPr>
              <w:t>Reasoning</w:t>
            </w:r>
          </w:p>
        </w:tc>
        <w:tc>
          <w:tcPr>
            <w:tcW w:type="dxa" w:w="4561"/>
          </w:tcPr>
          <w:p>
            <w:r>
              <w:rPr>
                <w:b w:val="0"/>
                <w:sz w:val="20"/>
              </w:rPr>
              <w:t>A review of the supplied pages (pages 2‑5 of P2_ML.pdf) reveals only descriptions of an AI/ML internship project, problem statements, solution outlines, and submission requirements. No mention is made of any specific legal documents, nor of any verification of signatures, attestations, thumb impressions, or notarial certifications. Consequently, it is not possible to confirm their presence or validity from the available material.</w:t>
            </w:r>
          </w:p>
        </w:tc>
      </w:tr>
      <w:tr>
        <w:tc>
          <w:tcPr>
            <w:tcW w:type="dxa" w:w="4561"/>
          </w:tcPr>
          <w:p>
            <w:r>
              <w:rPr>
                <w:b/>
                <w:color w:val="143C6E"/>
                <w:sz w:val="20"/>
              </w:rPr>
              <w:t>Document citation</w:t>
            </w:r>
          </w:p>
        </w:tc>
        <w:tc>
          <w:tcPr>
            <w:tcW w:type="dxa" w:w="4561"/>
          </w:tcPr>
          <w:p>
            <w:r>
              <w:rPr>
                <w:b w:val="0"/>
                <w:sz w:val="20"/>
              </w:rPr>
              <w:t>P2_ML.pdf, pages 2-5</w:t>
            </w:r>
          </w:p>
        </w:tc>
      </w:tr>
      <w:tr>
        <w:tc>
          <w:tcPr>
            <w:tcW w:type="dxa" w:w="4561"/>
          </w:tcPr>
          <w:p>
            <w:r>
              <w:rPr>
                <w:b/>
                <w:color w:val="143C6E"/>
                <w:sz w:val="20"/>
              </w:rPr>
              <w:t>Statutory citation</w:t>
            </w:r>
          </w:p>
        </w:tc>
        <w:tc>
          <w:tcPr>
            <w:tcW w:type="dxa" w:w="4561"/>
          </w:tcPr>
          <w:p>
            <w:r>
              <w:rPr>
                <w:b w:val="0"/>
                <w:sz w:val="20"/>
              </w:rPr>
              <w:t>Registration Act, 1908, Sec. 49; Stamp Act, 1899, Sec. 2; Notaries Public Act, 1959, Sec. 5</w:t>
            </w:r>
          </w:p>
        </w:tc>
      </w:tr>
      <w:tr>
        <w:tc>
          <w:tcPr>
            <w:tcW w:type="dxa" w:w="4561"/>
          </w:tcPr>
          <w:p>
            <w:r>
              <w:rPr>
                <w:b/>
                <w:color w:val="143C6E"/>
                <w:sz w:val="20"/>
              </w:rPr>
              <w:t>Constitutional basis</w:t>
            </w:r>
          </w:p>
        </w:tc>
        <w:tc>
          <w:tcPr>
            <w:tcW w:type="dxa" w:w="4561"/>
          </w:tcPr>
          <w:p>
            <w:r>
              <w:rPr>
                <w:b w:val="0"/>
                <w:sz w:val="20"/>
              </w:rPr>
              <w:t>Article 199 of the Constitution of Pakistan (judicial power to enforce legal formalities)</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and review the original legal documents to verify that each required signature, attestation, thumb impression, and notarial certification is present, legible, and complies with the relevant statutory provisions. Engage a qualified notary or senior associate to authenticate each signature and ensure proper stamping where required.</w:t>
            </w:r>
          </w:p>
        </w:tc>
      </w:tr>
    </w:tbl>
    <w:p/>
    <w:p>
      <w:r>
        <w:rPr>
          <w:b/>
          <w:color w:val="143C6E"/>
          <w:sz w:val="22"/>
        </w:rPr>
        <w:t>Q8. Is the land use classification consistent with the intended purpose of acquisition? Check for residential, commercial, o</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land use classification, zoning status, or the intended purpose of the acquisition.</w:t>
            </w:r>
          </w:p>
        </w:tc>
      </w:tr>
      <w:tr>
        <w:tc>
          <w:tcPr>
            <w:tcW w:type="dxa" w:w="4561"/>
          </w:tcPr>
          <w:p>
            <w:r>
              <w:rPr>
                <w:b/>
                <w:color w:val="143C6E"/>
                <w:sz w:val="20"/>
              </w:rPr>
              <w:t>Reasoning</w:t>
            </w:r>
          </w:p>
        </w:tc>
        <w:tc>
          <w:tcPr>
            <w:tcW w:type="dxa" w:w="4561"/>
          </w:tcPr>
          <w:p>
            <w:r>
              <w:rPr>
                <w:b w:val="0"/>
                <w:sz w:val="20"/>
              </w:rPr>
              <w:t>A review of the supplied pages (pages 2-4 of P2_ML.pdf) reveals content solely related to an AI/ML internship problem statement, solution architecture, and project deliverables. No sections reference property details, land use certificates, zoning maps, or related statutory provisions. Consequently, the required zoning information cannot be determined from the available material.</w:t>
            </w:r>
          </w:p>
        </w:tc>
      </w:tr>
      <w:tr>
        <w:tc>
          <w:tcPr>
            <w:tcW w:type="dxa" w:w="4561"/>
          </w:tcPr>
          <w:p>
            <w:r>
              <w:rPr>
                <w:b/>
                <w:color w:val="143C6E"/>
                <w:sz w:val="20"/>
              </w:rPr>
              <w:t>Document citation</w:t>
            </w:r>
          </w:p>
        </w:tc>
        <w:tc>
          <w:tcPr>
            <w:tcW w:type="dxa" w:w="4561"/>
          </w:tcPr>
          <w:p>
            <w:r>
              <w:rPr>
                <w:b w:val="0"/>
                <w:sz w:val="20"/>
              </w:rPr>
              <w:t>N/A</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the relevant land records, including the land use certificate, zoning map, and any municipal planning approvals, to verify whether the property is classified for residential, commercial, or agricultural use consistent with the acquisition purpose.</w:t>
            </w:r>
          </w:p>
        </w:tc>
      </w:tr>
    </w:tbl>
    <w:p/>
    <w:p>
      <w:r>
        <w:rPr>
          <w:b/>
          <w:color w:val="143C6E"/>
          <w:sz w:val="22"/>
        </w:rPr>
        <w:t xml:space="preserve">Q9. Are utility connections — electricity, gas, water, PTCL — documented and registered in the vendor's name? Are there any </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utility connections, registration in the vendor's name, or outstanding utility dues.</w:t>
            </w:r>
          </w:p>
        </w:tc>
      </w:tr>
      <w:tr>
        <w:tc>
          <w:tcPr>
            <w:tcW w:type="dxa" w:w="4561"/>
          </w:tcPr>
          <w:p>
            <w:r>
              <w:rPr>
                <w:b/>
                <w:color w:val="143C6E"/>
                <w:sz w:val="20"/>
              </w:rPr>
              <w:t>Reasoning</w:t>
            </w:r>
          </w:p>
        </w:tc>
        <w:tc>
          <w:tcPr>
            <w:tcW w:type="dxa" w:w="4561"/>
          </w:tcPr>
          <w:p>
            <w:r>
              <w:rPr>
                <w:b w:val="0"/>
                <w:sz w:val="20"/>
              </w:rPr>
              <w:t>Reviewed pages 2, 3, and 5 of the source file P2_ML.pdf. The content focuses on AI/ML internship problem statements, proposed solution, and submission schedule for a document review system. No sections mention utility connections, vendor registration, or utility payment status. Therefore, the required information is absent.</w:t>
            </w:r>
          </w:p>
        </w:tc>
      </w:tr>
      <w:tr>
        <w:tc>
          <w:tcPr>
            <w:tcW w:type="dxa" w:w="4561"/>
          </w:tcPr>
          <w:p>
            <w:r>
              <w:rPr>
                <w:b/>
                <w:color w:val="143C6E"/>
                <w:sz w:val="20"/>
              </w:rPr>
              <w:t>Document citation</w:t>
            </w:r>
          </w:p>
        </w:tc>
        <w:tc>
          <w:tcPr>
            <w:tcW w:type="dxa" w:w="4561"/>
          </w:tcPr>
          <w:p>
            <w:r>
              <w:rPr>
                <w:b w:val="0"/>
                <w:sz w:val="20"/>
              </w:rPr>
              <w:t>P2_ML.pdf, pages 2-5</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the vendor's utility connection certificates, registration documents, and recent utility bills directly from the vendor or relevant utility providers to verify registration and confirm that there are no outstanding dues.</w:t>
            </w:r>
          </w:p>
        </w:tc>
      </w:tr>
    </w:tbl>
    <w:p/>
    <w:p>
      <w:r>
        <w:rPr>
          <w:b/>
          <w:color w:val="143C6E"/>
          <w:sz w:val="22"/>
        </w:rPr>
        <w:t>Q10. Are all outstanding property taxes, withholding taxes under Sections 236C and 236K of the Income Tax Ordinance 2001, CVT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the disclosure or settlement of property taxes, withholding taxes under Sections 236C and 236K of the Income Tax Ordinance 2001, Capital Value Tax (CVT), or stamp duty arrears.</w:t>
            </w:r>
          </w:p>
        </w:tc>
      </w:tr>
      <w:tr>
        <w:tc>
          <w:tcPr>
            <w:tcW w:type="dxa" w:w="4561"/>
          </w:tcPr>
          <w:p>
            <w:r>
              <w:rPr>
                <w:b/>
                <w:color w:val="143C6E"/>
                <w:sz w:val="20"/>
              </w:rPr>
              <w:t>Reasoning</w:t>
            </w:r>
          </w:p>
        </w:tc>
        <w:tc>
          <w:tcPr>
            <w:tcW w:type="dxa" w:w="4561"/>
          </w:tcPr>
          <w:p>
            <w:r>
              <w:rPr>
                <w:b w:val="0"/>
                <w:sz w:val="20"/>
              </w:rPr>
              <w:t>The context consists of an AI/ML internship problem statement describing due‑diligence workflow challenges, proposed RAG solution, and project schedule. No clauses, checklists, or tax‑related disclosures are mentioned in any of the pages (2, 3, 5) of P2_ML.pdf. Therefore, the specific tax disclosure query cannot be answered from the available material.</w:t>
            </w:r>
          </w:p>
        </w:tc>
      </w:tr>
      <w:tr>
        <w:tc>
          <w:tcPr>
            <w:tcW w:type="dxa" w:w="4561"/>
          </w:tcPr>
          <w:p>
            <w:r>
              <w:rPr>
                <w:b/>
                <w:color w:val="143C6E"/>
                <w:sz w:val="20"/>
              </w:rPr>
              <w:t>Document citation</w:t>
            </w:r>
          </w:p>
        </w:tc>
        <w:tc>
          <w:tcPr>
            <w:tcW w:type="dxa" w:w="4561"/>
          </w:tcPr>
          <w:p>
            <w:r>
              <w:rPr>
                <w:b w:val="0"/>
                <w:sz w:val="20"/>
              </w:rPr>
              <w:t>P2_ML.pdf, pages 2‑5</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and review the following documents before concluding the due‑diligence: (1) Property tax clearance certificates; (2) Withholding tax certificates for Sections 236C and 236K of the Income Tax Ordinance 2001; (3) Capital Value Tax (CVT) clearance; (4) Stamp duty payment receipts or clearance letters. Ensure that each document explicitly states that all arrears have been settled and attach them to the final review memorandum.</w:t>
            </w:r>
          </w:p>
        </w:tc>
      </w:tr>
    </w:tbl>
    <w:p/>
    <w:p>
      <w:r>
        <w:rPr>
          <w:b/>
          <w:color w:val="143C6E"/>
          <w:sz w:val="22"/>
        </w:rPr>
        <w:t>Q11. Is the vendor's CNIC number verified and consistent across all transaction documents including the sale deed, NOC, and u</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the vendor's CNIC number, its verification, or its consistency across the sale deed, NOC, or utility bills.</w:t>
            </w:r>
          </w:p>
        </w:tc>
      </w:tr>
      <w:tr>
        <w:tc>
          <w:tcPr>
            <w:tcW w:type="dxa" w:w="4561"/>
          </w:tcPr>
          <w:p>
            <w:r>
              <w:rPr>
                <w:b/>
                <w:color w:val="143C6E"/>
                <w:sz w:val="20"/>
              </w:rPr>
              <w:t>Reasoning</w:t>
            </w:r>
          </w:p>
        </w:tc>
        <w:tc>
          <w:tcPr>
            <w:tcW w:type="dxa" w:w="4561"/>
          </w:tcPr>
          <w:p>
            <w:r>
              <w:rPr>
                <w:b w:val="0"/>
                <w:sz w:val="20"/>
              </w:rPr>
              <w:t>A review of the supplied pages (2, 3, and 5 of P2_ML.pdf) reveals only a description of a due‑diligence workflow, proposed AI/ML solution, and project timelines. No transaction-specific documents or details about vendor identification are present, therefore no verification status can be ascertained.</w:t>
            </w:r>
          </w:p>
        </w:tc>
      </w:tr>
      <w:tr>
        <w:tc>
          <w:tcPr>
            <w:tcW w:type="dxa" w:w="4561"/>
          </w:tcPr>
          <w:p>
            <w:r>
              <w:rPr>
                <w:b/>
                <w:color w:val="143C6E"/>
                <w:sz w:val="20"/>
              </w:rPr>
              <w:t>Document citation</w:t>
            </w:r>
          </w:p>
        </w:tc>
        <w:tc>
          <w:tcPr>
            <w:tcW w:type="dxa" w:w="4561"/>
          </w:tcPr>
          <w:p>
            <w:r>
              <w:rPr>
                <w:b w:val="0"/>
                <w:sz w:val="20"/>
              </w:rPr>
              <w:t>N/A</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the actual transaction documents (sale deed, NOC, utility bills) and cross‑verify the vendor's CNIC number in each. Ensure the CNIC is authenticated against the NADRA database and that the same number appears consistently across all documents before proceeding.</w:t>
            </w:r>
          </w:p>
        </w:tc>
      </w:tr>
    </w:tbl>
    <w:p/>
    <w:p>
      <w:r>
        <w:rPr>
          <w:b/>
          <w:color w:val="143C6E"/>
          <w:sz w:val="22"/>
        </w:rPr>
        <w:t>Q12. Are there any co-owners, inherited co-sharers, legal heirs, or third-party interests in the property? If so, is their wr</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co-owners, inherited co-sharers, legal heirs, or third‑party interests in the property, nor any written consent for a transfer.</w:t>
            </w:r>
          </w:p>
        </w:tc>
      </w:tr>
      <w:tr>
        <w:tc>
          <w:tcPr>
            <w:tcW w:type="dxa" w:w="4561"/>
          </w:tcPr>
          <w:p>
            <w:r>
              <w:rPr>
                <w:b/>
                <w:color w:val="143C6E"/>
                <w:sz w:val="20"/>
              </w:rPr>
              <w:t>Reasoning</w:t>
            </w:r>
          </w:p>
        </w:tc>
        <w:tc>
          <w:tcPr>
            <w:tcW w:type="dxa" w:w="4561"/>
          </w:tcPr>
          <w:p>
            <w:r>
              <w:rPr>
                <w:b w:val="0"/>
                <w:sz w:val="20"/>
              </w:rPr>
              <w:t>Reviewed pages 2, 3, and 5 of P2_ML.pdf, which discuss the problem statement, proposed solution, and submission requirements for an AI/ML internship project. None of these pages mention property ownership details, co‑ownership arrangements, heir information, or consent documentation. Therefore, the required information is absent from the supplied context.</w:t>
            </w:r>
          </w:p>
        </w:tc>
      </w:tr>
      <w:tr>
        <w:tc>
          <w:tcPr>
            <w:tcW w:type="dxa" w:w="4561"/>
          </w:tcPr>
          <w:p>
            <w:r>
              <w:rPr>
                <w:b/>
                <w:color w:val="143C6E"/>
                <w:sz w:val="20"/>
              </w:rPr>
              <w:t>Document citation</w:t>
            </w:r>
          </w:p>
        </w:tc>
        <w:tc>
          <w:tcPr>
            <w:tcW w:type="dxa" w:w="4561"/>
          </w:tcPr>
          <w:p>
            <w:r>
              <w:rPr>
                <w:b w:val="0"/>
                <w:sz w:val="20"/>
              </w:rPr>
              <w:t>P2_ML.pdf, pages 2‑5</w:t>
            </w:r>
          </w:p>
        </w:tc>
      </w:tr>
      <w:tr>
        <w:tc>
          <w:tcPr>
            <w:tcW w:type="dxa" w:w="4561"/>
          </w:tcPr>
          <w:p>
            <w:r>
              <w:rPr>
                <w:b/>
                <w:color w:val="143C6E"/>
                <w:sz w:val="20"/>
              </w:rPr>
              <w:t>Statutory citation</w:t>
            </w:r>
          </w:p>
        </w:tc>
        <w:tc>
          <w:tcPr>
            <w:tcW w:type="dxa" w:w="4561"/>
          </w:tcPr>
          <w:p>
            <w:r>
              <w:rPr>
                <w:b w:val="0"/>
                <w:sz w:val="20"/>
              </w:rPr>
            </w:r>
          </w:p>
        </w:tc>
      </w:tr>
      <w:tr>
        <w:tc>
          <w:tcPr>
            <w:tcW w:type="dxa" w:w="4561"/>
          </w:tcPr>
          <w:p>
            <w:r>
              <w:rPr>
                <w:b/>
                <w:color w:val="143C6E"/>
                <w:sz w:val="20"/>
              </w:rPr>
              <w:t>Constitutional basis</w:t>
            </w:r>
          </w:p>
        </w:tc>
        <w:tc>
          <w:tcPr>
            <w:tcW w:type="dxa" w:w="4561"/>
          </w:tcPr>
          <w:p>
            <w:r>
              <w:rPr>
                <w:b w:val="0"/>
                <w:sz w:val="20"/>
              </w:rPr>
              <w:t>Article 25 — Equality of citizens</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and review the actual property title deed, any prior conveyance documents, and any written consent or waiver letters from co‑owners, heirs, or third parties. Ensure these consents are signed, dated, and notarized before proceeding with the transfer.</w:t>
            </w:r>
          </w:p>
        </w:tc>
      </w:tr>
    </w:tbl>
    <w:p/>
    <w:p>
      <w:r>
        <w:rPr>
          <w:b/>
          <w:color w:val="143C6E"/>
          <w:sz w:val="22"/>
        </w:rPr>
        <w:t>Q13. Is the possession transfer date, handover mechanism, and physical possession status explicitly documented?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context does not contain any reference to a possession transfer date, handover mechanism, or physical possession status.</w:t>
            </w:r>
          </w:p>
        </w:tc>
      </w:tr>
      <w:tr>
        <w:tc>
          <w:tcPr>
            <w:tcW w:type="dxa" w:w="4561"/>
          </w:tcPr>
          <w:p>
            <w:r>
              <w:rPr>
                <w:b/>
                <w:color w:val="143C6E"/>
                <w:sz w:val="20"/>
              </w:rPr>
              <w:t>Reasoning</w:t>
            </w:r>
          </w:p>
        </w:tc>
        <w:tc>
          <w:tcPr>
            <w:tcW w:type="dxa" w:w="4561"/>
          </w:tcPr>
          <w:p>
            <w:r>
              <w:rPr>
                <w:b w:val="0"/>
                <w:sz w:val="20"/>
              </w:rPr>
              <w:t>The documents supplied (pages 2, 3, and 5 of P2_ML.pdf) discuss an AI/ML internship project, problem statement, solution overview, and submission schedule for a legal document review system. No clauses, checklists, or excerpts related to property possession details are present. Therefore, the specific information requested cannot be located in the given material.</w:t>
            </w:r>
          </w:p>
        </w:tc>
      </w:tr>
      <w:tr>
        <w:tc>
          <w:tcPr>
            <w:tcW w:type="dxa" w:w="4561"/>
          </w:tcPr>
          <w:p>
            <w:r>
              <w:rPr>
                <w:b/>
                <w:color w:val="143C6E"/>
                <w:sz w:val="20"/>
              </w:rPr>
              <w:t>Document citation</w:t>
            </w:r>
          </w:p>
        </w:tc>
        <w:tc>
          <w:tcPr>
            <w:tcW w:type="dxa" w:w="4561"/>
          </w:tcPr>
          <w:p>
            <w:r>
              <w:rPr>
                <w:b w:val="0"/>
                <w:sz w:val="20"/>
              </w:rPr>
              <w:t>P2_ML.pdf, pages 2-5</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and review the actual transaction documents (e.g., sale deed, possession agreement, handover letter) to verify whether the possession transfer date, handover mechanism, and physical possession status are explicitly documented.</w:t>
            </w:r>
          </w:p>
        </w:tc>
      </w:tr>
    </w:tbl>
    <w:p/>
    <w:p>
      <w:r>
        <w:rPr>
          <w:b/>
          <w:color w:val="143C6E"/>
          <w:sz w:val="22"/>
        </w:rPr>
        <w:t>Q14. Are all conditions precedent to the transfer clearly identified and confirmed as satisfied? List any outstanding conditi</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conditions precedent to a transfer, nor do they identify whether such conditions have been satisfied.</w:t>
            </w:r>
          </w:p>
        </w:tc>
      </w:tr>
      <w:tr>
        <w:tc>
          <w:tcPr>
            <w:tcW w:type="dxa" w:w="4561"/>
          </w:tcPr>
          <w:p>
            <w:r>
              <w:rPr>
                <w:b/>
                <w:color w:val="143C6E"/>
                <w:sz w:val="20"/>
              </w:rPr>
              <w:t>Reasoning</w:t>
            </w:r>
          </w:p>
        </w:tc>
        <w:tc>
          <w:tcPr>
            <w:tcW w:type="dxa" w:w="4561"/>
          </w:tcPr>
          <w:p>
            <w:r>
              <w:rPr>
                <w:b w:val="0"/>
                <w:sz w:val="20"/>
              </w:rPr>
              <w:t>The context consists of an AI/ML internship problem description, solution overview, and project deliverables for a document‑review system. No clauses, checklists, or contractual excerpts related to a property or corporate transfer are present. Consequently, no assessment of conditions precedent can be made from the available material.</w:t>
            </w:r>
          </w:p>
        </w:tc>
      </w:tr>
      <w:tr>
        <w:tc>
          <w:tcPr>
            <w:tcW w:type="dxa" w:w="4561"/>
          </w:tcPr>
          <w:p>
            <w:r>
              <w:rPr>
                <w:b/>
                <w:color w:val="143C6E"/>
                <w:sz w:val="20"/>
              </w:rPr>
              <w:t>Document citation</w:t>
            </w:r>
          </w:p>
        </w:tc>
        <w:tc>
          <w:tcPr>
            <w:tcW w:type="dxa" w:w="4561"/>
          </w:tcPr>
          <w:p>
            <w:r>
              <w:rPr>
                <w:b w:val="0"/>
                <w:sz w:val="20"/>
              </w:rPr>
            </w:r>
          </w:p>
        </w:tc>
      </w:tr>
      <w:tr>
        <w:tc>
          <w:tcPr>
            <w:tcW w:type="dxa" w:w="4561"/>
          </w:tcPr>
          <w:p>
            <w:r>
              <w:rPr>
                <w:b/>
                <w:color w:val="143C6E"/>
                <w:sz w:val="20"/>
              </w:rPr>
              <w:t>Statutory citation</w:t>
            </w:r>
          </w:p>
        </w:tc>
        <w:tc>
          <w:tcPr>
            <w:tcW w:type="dxa" w:w="4561"/>
          </w:tcPr>
          <w:p>
            <w:r>
              <w:rPr>
                <w:b w:val="0"/>
                <w:sz w:val="20"/>
              </w:rPr>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the specific transaction documents (e.g., sale agreement, acquisition agreement, loan security documents) and the applicable due‑diligence checklist that enumerate the conditions precedent. Review those documents to verify each condition and identify any that remain unsatisfied.</w:t>
            </w:r>
          </w:p>
        </w:tc>
      </w:tr>
    </w:tbl>
    <w:p/>
    <w:p>
      <w:r>
        <w:rPr>
          <w:b/>
          <w:color w:val="143C6E"/>
          <w:sz w:val="22"/>
        </w:rPr>
        <w:t>Q15. Is there a registered mutation (Intiqal) on record from LRMIS? Is the Fard-e-Malkiat consistent with the Registry? Is th</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contain no information regarding a registered mutation (Intiqal) from LRMIS, the consistency of the Fard-e-Malkiat with the Registry, or the legal validity of the transfer mode under Pakistani land revenue law.</w:t>
            </w:r>
          </w:p>
        </w:tc>
      </w:tr>
      <w:tr>
        <w:tc>
          <w:tcPr>
            <w:tcW w:type="dxa" w:w="4561"/>
          </w:tcPr>
          <w:p>
            <w:r>
              <w:rPr>
                <w:b/>
                <w:color w:val="143C6E"/>
                <w:sz w:val="20"/>
              </w:rPr>
              <w:t>Reasoning</w:t>
            </w:r>
          </w:p>
        </w:tc>
        <w:tc>
          <w:tcPr>
            <w:tcW w:type="dxa" w:w="4561"/>
          </w:tcPr>
          <w:p>
            <w:r>
              <w:rPr>
                <w:b w:val="0"/>
                <w:sz w:val="20"/>
              </w:rPr>
              <w:t>A thorough review of the supplied pages (2, 3, and 5 of P2_ML.pdf) reveals only details about an AI/ML internship problem statement, proposed solution, and project schedule. No references to land records, LRMIS, mutation certificates, Fard-e-Malkiat, or land revenue statutes are present. Consequently, the required factual data cannot be extracted from the given context.</w:t>
            </w:r>
          </w:p>
        </w:tc>
      </w:tr>
      <w:tr>
        <w:tc>
          <w:tcPr>
            <w:tcW w:type="dxa" w:w="4561"/>
          </w:tcPr>
          <w:p>
            <w:r>
              <w:rPr>
                <w:b/>
                <w:color w:val="143C6E"/>
                <w:sz w:val="20"/>
              </w:rPr>
              <w:t>Document citation</w:t>
            </w:r>
          </w:p>
        </w:tc>
        <w:tc>
          <w:tcPr>
            <w:tcW w:type="dxa" w:w="4561"/>
          </w:tcPr>
          <w:p>
            <w:r>
              <w:rPr>
                <w:b w:val="0"/>
                <w:sz w:val="20"/>
              </w:rPr>
              <w:t>None (no relevant content found in P2_ML.pdf pages 2, 3, 5)</w:t>
            </w:r>
          </w:p>
        </w:tc>
      </w:tr>
      <w:tr>
        <w:tc>
          <w:tcPr>
            <w:tcW w:type="dxa" w:w="4561"/>
          </w:tcPr>
          <w:p>
            <w:r>
              <w:rPr>
                <w:b/>
                <w:color w:val="143C6E"/>
                <w:sz w:val="20"/>
              </w:rPr>
              <w:t>Statutory citation</w:t>
            </w:r>
          </w:p>
        </w:tc>
        <w:tc>
          <w:tcPr>
            <w:tcW w:type="dxa" w:w="4561"/>
          </w:tcPr>
          <w:p>
            <w:r>
              <w:rPr>
                <w:b w:val="0"/>
                <w:sz w:val="20"/>
              </w:rPr>
              <w:t>Land Revenue Act, 1969 (Pakistan) – Sections relating to mutation of land and registration of transfer of immovable property</w:t>
            </w:r>
          </w:p>
        </w:tc>
      </w:tr>
      <w:tr>
        <w:tc>
          <w:tcPr>
            <w:tcW w:type="dxa" w:w="4561"/>
          </w:tcPr>
          <w:p>
            <w:r>
              <w:rPr>
                <w:b/>
                <w:color w:val="143C6E"/>
                <w:sz w:val="20"/>
              </w:rPr>
              <w:t>Constitutional basis</w:t>
            </w:r>
          </w:p>
        </w:tc>
        <w:tc>
          <w:tcPr>
            <w:tcW w:type="dxa" w:w="4561"/>
          </w:tcPr>
          <w:p>
            <w:r>
              <w:rPr>
                <w:b w:val="0"/>
                <w:sz w:val="20"/>
              </w:rPr>
              <w:t>Article 23 of the Constitution of Pakistan 1973 – Right to acquire, hold and dispose of property</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the official mutation (Intiqal) certificate from the Land Records Management Information System (LRMIS), the original Fard-e-Malkiat, and any related registry extracts. Compare the details (owner name, plot number, area, and transfer particulars) for consistency. Verify that the mode of transfer (sale, gift, inheritance, etc.) complies with the Land Revenue Act and the Registration Act, 1908, including proper execution, witnessing, and registration. If discrepancies are found, advise the client to rectify them before proceeding with any transaction.</w:t>
            </w:r>
          </w:p>
        </w:tc>
      </w:tr>
    </w:tbl>
    <w:p/>
    <w:p>
      <w:pPr>
        <w:spacing w:before="160" w:after="80"/>
      </w:pPr>
      <w:r>
        <w:rPr>
          <w:b/>
          <w:color w:val="143C6E"/>
          <w:sz w:val="26"/>
        </w:rPr>
        <w:t>5. FBR &amp; AML Compliance Assessment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Detected transaction value</w:t>
            </w:r>
          </w:p>
        </w:tc>
        <w:tc>
          <w:tcPr>
            <w:tcW w:type="dxa" w:w="4561"/>
          </w:tcPr>
          <w:p>
            <w:r>
              <w:rPr>
                <w:b w:val="0"/>
                <w:sz w:val="20"/>
              </w:rPr>
              <w:t>Not detected in documents</w:t>
            </w:r>
          </w:p>
        </w:tc>
      </w:tr>
      <w:tr>
        <w:tc>
          <w:tcPr>
            <w:tcW w:type="dxa" w:w="4561"/>
          </w:tcPr>
          <w:p>
            <w:r>
              <w:rPr>
                <w:b/>
                <w:color w:val="143C6E"/>
                <w:sz w:val="20"/>
              </w:rPr>
              <w:t>FBR withholding tax applicable</w:t>
              <w:br/>
              <w:t>(Section 236C/236K — above PKR 5M)</w:t>
            </w:r>
          </w:p>
        </w:tc>
        <w:tc>
          <w:tcPr>
            <w:tcW w:type="dxa" w:w="4561"/>
          </w:tcPr>
          <w:p>
            <w:r>
              <w:rPr>
                <w:b w:val="0"/>
                <w:sz w:val="20"/>
              </w:rPr>
              <w:t>No — Below PKR 5,000,000 threshold</w:t>
            </w:r>
          </w:p>
        </w:tc>
      </w:tr>
      <w:tr>
        <w:tc>
          <w:tcPr>
            <w:tcW w:type="dxa" w:w="4561"/>
          </w:tcPr>
          <w:p>
            <w:r>
              <w:rPr>
                <w:b/>
                <w:color w:val="143C6E"/>
                <w:sz w:val="20"/>
              </w:rPr>
              <w:t>Enhanced AML due diligence required</w:t>
              <w:br/>
              <w:t>(AML Act 2010 — above PKR 10M)</w:t>
            </w:r>
          </w:p>
        </w:tc>
        <w:tc>
          <w:tcPr>
            <w:tcW w:type="dxa" w:w="4561"/>
          </w:tcPr>
          <w:p>
            <w:r>
              <w:rPr>
                <w:b w:val="0"/>
                <w:sz w:val="20"/>
              </w:rPr>
              <w:t>No — Below PKR 10,000,000 threshold</w:t>
            </w:r>
          </w:p>
        </w:tc>
      </w:tr>
      <w:tr>
        <w:tc>
          <w:tcPr>
            <w:tcW w:type="dxa" w:w="4561"/>
          </w:tcPr>
          <w:p>
            <w:r>
              <w:rPr>
                <w:b/>
                <w:color w:val="143C6E"/>
                <w:sz w:val="20"/>
              </w:rPr>
              <w:t>AML risk indicators detected</w:t>
            </w:r>
          </w:p>
        </w:tc>
        <w:tc>
          <w:tcPr>
            <w:tcW w:type="dxa" w:w="4561"/>
          </w:tcPr>
          <w:p>
            <w:r>
              <w:rPr>
                <w:b w:val="0"/>
                <w:sz w:val="20"/>
              </w:rPr>
              <w:t>None detected</w:t>
            </w:r>
          </w:p>
        </w:tc>
      </w:tr>
      <w:tr>
        <w:tc>
          <w:tcPr>
            <w:tcW w:type="dxa" w:w="4561"/>
          </w:tcPr>
          <w:p>
            <w:r>
              <w:rPr>
                <w:b/>
                <w:color w:val="143C6E"/>
                <w:sz w:val="20"/>
              </w:rPr>
              <w:t>Urdu content detected in documents</w:t>
            </w:r>
          </w:p>
        </w:tc>
        <w:tc>
          <w:tcPr>
            <w:tcW w:type="dxa" w:w="4561"/>
          </w:tcPr>
          <w:p>
            <w:r>
              <w:rPr>
                <w:b w:val="0"/>
                <w:sz w:val="20"/>
              </w:rPr>
              <w:t>No — English-only document</w:t>
            </w:r>
          </w:p>
        </w:tc>
      </w:tr>
      <w:tr>
        <w:tc>
          <w:tcPr>
            <w:tcW w:type="dxa" w:w="4561"/>
          </w:tcPr>
          <w:p>
            <w:r>
              <w:rPr>
                <w:b/>
                <w:color w:val="143C6E"/>
                <w:sz w:val="20"/>
              </w:rPr>
              <w:t>OCR applied to scanned pages</w:t>
            </w:r>
          </w:p>
        </w:tc>
        <w:tc>
          <w:tcPr>
            <w:tcW w:type="dxa" w:w="4561"/>
          </w:tcPr>
          <w:p>
            <w:r>
              <w:rPr>
                <w:b w:val="0"/>
                <w:sz w:val="20"/>
              </w:rPr>
              <w:t>No — All pages are text-based</w:t>
            </w:r>
          </w:p>
        </w:tc>
      </w:tr>
    </w:tbl>
    <w:p/>
    <w:p>
      <w:pPr>
        <w:spacing w:before="160" w:after="80"/>
      </w:pPr>
      <w:r>
        <w:rPr>
          <w:b/>
          <w:color w:val="143C6E"/>
          <w:sz w:val="26"/>
        </w:rPr>
        <w:t>6. Missing Documents</w:t>
      </w:r>
    </w:p>
    <w:p>
      <w:pPr>
        <w:pStyle w:val="ListBullet"/>
      </w:pPr>
      <w:r>
        <w:rPr>
          <w:color w:val="AA2323"/>
        </w:rPr>
        <w:t>Sale deed or conveyance document</w:t>
      </w:r>
    </w:p>
    <w:p>
      <w:pPr>
        <w:pStyle w:val="ListBullet"/>
      </w:pPr>
      <w:r>
        <w:rPr>
          <w:color w:val="AA2323"/>
        </w:rPr>
        <w:t>Correspondence confirming satisfaction of each condition</w:t>
      </w:r>
    </w:p>
    <w:p>
      <w:pPr>
        <w:pStyle w:val="ListBullet"/>
      </w:pPr>
      <w:r>
        <w:rPr>
          <w:color w:val="AA2323"/>
        </w:rPr>
        <w:t>Notarized affidavits confirming absence of undisclosed interests</w:t>
      </w:r>
    </w:p>
    <w:p>
      <w:pPr>
        <w:pStyle w:val="ListBullet"/>
      </w:pPr>
      <w:r>
        <w:rPr>
          <w:color w:val="AA2323"/>
        </w:rPr>
        <w:t>Sale agreement</w:t>
      </w:r>
    </w:p>
    <w:p>
      <w:pPr>
        <w:pStyle w:val="ListBullet"/>
      </w:pPr>
      <w:r>
        <w:rPr>
          <w:color w:val="AA2323"/>
        </w:rPr>
        <w:t>Original copies of the legal documents for signature verification</w:t>
      </w:r>
    </w:p>
    <w:p>
      <w:pPr>
        <w:pStyle w:val="ListBullet"/>
      </w:pPr>
      <w:r>
        <w:rPr>
          <w:color w:val="AA2323"/>
        </w:rPr>
        <w:t>Zoning Map</w:t>
      </w:r>
    </w:p>
    <w:p>
      <w:pPr>
        <w:pStyle w:val="ListBullet"/>
      </w:pPr>
      <w:r>
        <w:rPr>
          <w:color w:val="AA2323"/>
        </w:rPr>
        <w:t>Other local authority NOCs</w:t>
      </w:r>
    </w:p>
    <w:p>
      <w:pPr>
        <w:pStyle w:val="ListBullet"/>
      </w:pPr>
      <w:r>
        <w:rPr>
          <w:color w:val="AA2323"/>
        </w:rPr>
        <w:t>Written consent/waiver letters from co‑owners, legal heirs, or third‑party interest holders</w:t>
      </w:r>
    </w:p>
    <w:p>
      <w:pPr>
        <w:pStyle w:val="ListBullet"/>
      </w:pPr>
      <w:r>
        <w:rPr>
          <w:color w:val="AA2323"/>
        </w:rPr>
        <w:t>Mortgage agreements</w:t>
      </w:r>
    </w:p>
    <w:p>
      <w:pPr>
        <w:pStyle w:val="ListBullet"/>
      </w:pPr>
      <w:r>
        <w:rPr>
          <w:color w:val="AA2323"/>
        </w:rPr>
        <w:t>Title search report</w:t>
      </w:r>
    </w:p>
    <w:p>
      <w:pPr>
        <w:pStyle w:val="ListBullet"/>
      </w:pPr>
      <w:r>
        <w:rPr>
          <w:color w:val="AA2323"/>
        </w:rPr>
        <w:t>Due‑diligence checklist for conditions precedent</w:t>
      </w:r>
    </w:p>
    <w:p>
      <w:pPr>
        <w:pStyle w:val="ListBullet"/>
      </w:pPr>
      <w:r>
        <w:rPr>
          <w:color w:val="AA2323"/>
        </w:rPr>
        <w:t>Third‑party claim documents</w:t>
      </w:r>
    </w:p>
    <w:p>
      <w:pPr>
        <w:pStyle w:val="ListBullet"/>
      </w:pPr>
      <w:r>
        <w:rPr>
          <w:color w:val="AA2323"/>
        </w:rPr>
        <w:t>Litigation and caveat search report</w:t>
      </w:r>
    </w:p>
    <w:p>
      <w:pPr>
        <w:pStyle w:val="ListBullet"/>
      </w:pPr>
      <w:r>
        <w:rPr>
          <w:color w:val="AA2323"/>
        </w:rPr>
        <w:t>Utility bills</w:t>
      </w:r>
    </w:p>
    <w:p>
      <w:pPr>
        <w:pStyle w:val="ListBullet"/>
      </w:pPr>
      <w:r>
        <w:rPr>
          <w:color w:val="AA2323"/>
        </w:rPr>
        <w:t>Property tax clearance certificate</w:t>
      </w:r>
    </w:p>
    <w:p>
      <w:pPr>
        <w:pStyle w:val="ListBullet"/>
      </w:pPr>
      <w:r>
        <w:rPr>
          <w:color w:val="AA2323"/>
        </w:rPr>
        <w:t>Khasra extract</w:t>
      </w:r>
    </w:p>
    <w:p>
      <w:pPr>
        <w:pStyle w:val="ListBullet"/>
      </w:pPr>
      <w:r>
        <w:rPr>
          <w:color w:val="AA2323"/>
        </w:rPr>
        <w:t>Land Use Certificate</w:t>
      </w:r>
    </w:p>
    <w:p>
      <w:pPr>
        <w:pStyle w:val="ListBullet"/>
      </w:pPr>
      <w:r>
        <w:rPr>
          <w:color w:val="AA2323"/>
        </w:rPr>
        <w:t>CDA NOC</w:t>
      </w:r>
    </w:p>
    <w:p>
      <w:pPr>
        <w:pStyle w:val="ListBullet"/>
      </w:pPr>
      <w:r>
        <w:rPr>
          <w:color w:val="AA2323"/>
        </w:rPr>
        <w:t>Bank statements or evidence of payment</w:t>
      </w:r>
    </w:p>
    <w:p>
      <w:pPr>
        <w:pStyle w:val="ListBullet"/>
      </w:pPr>
      <w:r>
        <w:rPr>
          <w:color w:val="AA2323"/>
        </w:rPr>
        <w:t>Fard-e-Malkiat (land ownership deed)</w:t>
      </w:r>
    </w:p>
    <w:p>
      <w:pPr>
        <w:pStyle w:val="ListBullet"/>
      </w:pPr>
      <w:r>
        <w:rPr>
          <w:color w:val="AA2323"/>
        </w:rPr>
        <w:t>List of co‑owners or inherited co‑sharers</w:t>
      </w:r>
    </w:p>
    <w:p>
      <w:pPr>
        <w:pStyle w:val="ListBullet"/>
      </w:pPr>
      <w:r>
        <w:rPr>
          <w:color w:val="AA2323"/>
        </w:rPr>
        <w:t>Transfer agreement or sale deed</w:t>
      </w:r>
    </w:p>
    <w:p>
      <w:pPr>
        <w:pStyle w:val="ListBullet"/>
      </w:pPr>
      <w:r>
        <w:rPr>
          <w:color w:val="AA2323"/>
        </w:rPr>
        <w:t>Survey map</w:t>
      </w:r>
    </w:p>
    <w:p>
      <w:pPr>
        <w:pStyle w:val="ListBullet"/>
      </w:pPr>
      <w:r>
        <w:rPr>
          <w:color w:val="AA2323"/>
        </w:rPr>
        <w:t>Khata extract</w:t>
      </w:r>
    </w:p>
    <w:p>
      <w:pPr>
        <w:pStyle w:val="ListBullet"/>
      </w:pPr>
      <w:r>
        <w:rPr>
          <w:color w:val="AA2323"/>
        </w:rPr>
        <w:t>No Objection Certificate (NOC)</w:t>
      </w:r>
    </w:p>
    <w:p>
      <w:pPr>
        <w:pStyle w:val="ListBullet"/>
      </w:pPr>
      <w:r>
        <w:rPr>
          <w:color w:val="AA2323"/>
        </w:rPr>
        <w:t>Title deed or certified copy of the property registration</w:t>
      </w:r>
    </w:p>
    <w:p>
      <w:pPr>
        <w:pStyle w:val="ListBullet"/>
      </w:pPr>
      <w:r>
        <w:rPr>
          <w:color w:val="AA2323"/>
        </w:rPr>
        <w:t>TMA NOC</w:t>
      </w:r>
    </w:p>
    <w:p>
      <w:pPr>
        <w:pStyle w:val="ListBullet"/>
      </w:pPr>
      <w:r>
        <w:rPr>
          <w:color w:val="AA2323"/>
        </w:rPr>
        <w:t>Pay orders</w:t>
      </w:r>
    </w:p>
    <w:p>
      <w:pPr>
        <w:pStyle w:val="ListBullet"/>
      </w:pPr>
      <w:r>
        <w:rPr>
          <w:color w:val="AA2323"/>
        </w:rPr>
        <w:t>Physical possession status report</w:t>
      </w:r>
    </w:p>
    <w:p>
      <w:pPr>
        <w:pStyle w:val="ListBullet"/>
      </w:pPr>
      <w:r>
        <w:rPr>
          <w:color w:val="AA2323"/>
        </w:rPr>
        <w:t>Municipal Planning Approval</w:t>
      </w:r>
    </w:p>
    <w:p>
      <w:pPr>
        <w:pStyle w:val="ListBullet"/>
      </w:pPr>
      <w:r>
        <w:rPr>
          <w:color w:val="AA2323"/>
        </w:rPr>
        <w:t>Registration certificate</w:t>
      </w:r>
    </w:p>
    <w:p>
      <w:pPr>
        <w:pStyle w:val="ListBullet"/>
      </w:pPr>
      <w:r>
        <w:rPr>
          <w:color w:val="AA2323"/>
        </w:rPr>
        <w:t>Title deed</w:t>
      </w:r>
    </w:p>
    <w:p>
      <w:pPr>
        <w:pStyle w:val="ListBullet"/>
      </w:pPr>
      <w:r>
        <w:rPr>
          <w:color w:val="AA2323"/>
        </w:rPr>
        <w:t>Sale deed</w:t>
      </w:r>
    </w:p>
    <w:p>
      <w:pPr>
        <w:pStyle w:val="ListBullet"/>
      </w:pPr>
      <w:r>
        <w:rPr>
          <w:color w:val="AA2323"/>
        </w:rPr>
        <w:t>Bank charge statements</w:t>
      </w:r>
    </w:p>
    <w:p>
      <w:pPr>
        <w:pStyle w:val="ListBullet"/>
      </w:pPr>
      <w:r>
        <w:rPr>
          <w:color w:val="AA2323"/>
        </w:rPr>
        <w:t>Transfer deed/agreement</w:t>
      </w:r>
    </w:p>
    <w:p>
      <w:pPr>
        <w:pStyle w:val="ListBullet"/>
      </w:pPr>
      <w:r>
        <w:rPr>
          <w:color w:val="AA2323"/>
        </w:rPr>
        <w:t>LDA NOC</w:t>
      </w:r>
    </w:p>
    <w:p>
      <w:pPr>
        <w:pStyle w:val="ListBullet"/>
      </w:pPr>
      <w:r>
        <w:rPr>
          <w:color w:val="AA2323"/>
        </w:rPr>
        <w:t>Stamp duty clearance/receipt</w:t>
      </w:r>
    </w:p>
    <w:p>
      <w:pPr>
        <w:pStyle w:val="ListBullet"/>
      </w:pPr>
      <w:r>
        <w:rPr>
          <w:color w:val="AA2323"/>
        </w:rPr>
        <w:t>LRMIS mutation (Intiqal) certificate</w:t>
      </w:r>
    </w:p>
    <w:p>
      <w:pPr>
        <w:pStyle w:val="ListBullet"/>
      </w:pPr>
      <w:r>
        <w:rPr>
          <w:color w:val="AA2323"/>
        </w:rPr>
        <w:t>Official registry extract or certified copy of the land record</w:t>
      </w:r>
    </w:p>
    <w:p>
      <w:pPr>
        <w:pStyle w:val="ListBullet"/>
      </w:pPr>
      <w:r>
        <w:rPr>
          <w:color w:val="AA2323"/>
        </w:rPr>
        <w:t>Utility connection certificates (electricity, gas, water, PTCL)</w:t>
      </w:r>
    </w:p>
    <w:p>
      <w:pPr>
        <w:pStyle w:val="ListBullet"/>
      </w:pPr>
      <w:r>
        <w:rPr>
          <w:color w:val="AA2323"/>
        </w:rPr>
        <w:t>Withholding tax certificates (Sections 236C &amp; 236K)</w:t>
      </w:r>
    </w:p>
    <w:p>
      <w:pPr>
        <w:pStyle w:val="ListBullet"/>
      </w:pPr>
      <w:r>
        <w:rPr>
          <w:color w:val="AA2323"/>
        </w:rPr>
        <w:t>Notarial certificates or affidavits confirming notarization</w:t>
      </w:r>
    </w:p>
    <w:p>
      <w:pPr>
        <w:pStyle w:val="ListBullet"/>
      </w:pPr>
      <w:r>
        <w:rPr>
          <w:color w:val="AA2323"/>
        </w:rPr>
        <w:t>Possession handover agreement</w:t>
      </w:r>
    </w:p>
    <w:p>
      <w:pPr>
        <w:pStyle w:val="ListBullet"/>
      </w:pPr>
      <w:r>
        <w:rPr>
          <w:color w:val="AA2323"/>
        </w:rPr>
        <w:t>Area measurement certificate</w:t>
      </w:r>
    </w:p>
    <w:p>
      <w:pPr>
        <w:pStyle w:val="ListBullet"/>
      </w:pPr>
      <w:r>
        <w:rPr>
          <w:color w:val="AA2323"/>
        </w:rPr>
        <w:t>Recent utility bills or clearance letters</w:t>
      </w:r>
    </w:p>
    <w:p>
      <w:pPr>
        <w:pStyle w:val="ListBullet"/>
      </w:pPr>
      <w:r>
        <w:rPr>
          <w:color w:val="AA2323"/>
        </w:rPr>
        <w:t>Encumbrance certificate</w:t>
      </w:r>
    </w:p>
    <w:p>
      <w:pPr>
        <w:pStyle w:val="ListBullet"/>
      </w:pPr>
      <w:r>
        <w:rPr>
          <w:color w:val="AA2323"/>
        </w:rPr>
        <w:t>Capital Value Tax (CVT) clearance</w:t>
      </w:r>
    </w:p>
    <w:p>
      <w:pPr>
        <w:pStyle w:val="ListBullet"/>
      </w:pPr>
      <w:r>
        <w:rPr>
          <w:color w:val="AA2323"/>
        </w:rPr>
        <w:t>Payment receipts</w:t>
      </w:r>
    </w:p>
    <w:p>
      <w:pPr>
        <w:pStyle w:val="ListBullet"/>
      </w:pPr>
      <w:r>
        <w:rPr>
          <w:color w:val="AA2323"/>
        </w:rPr>
        <w:t>RDA NOC</w:t>
      </w:r>
    </w:p>
    <w:p/>
    <w:p>
      <w:pPr>
        <w:spacing w:before="160" w:after="80"/>
      </w:pPr>
      <w:r>
        <w:rPr>
          <w:b/>
          <w:color w:val="143C6E"/>
          <w:sz w:val="26"/>
        </w:rPr>
        <w:t>7. Disclaimer</w:t>
      </w:r>
    </w:p>
    <w:p>
      <w:r>
        <w:rPr>
          <w:color w:val="0070A4"/>
          <w:sz w:val="18"/>
        </w:rPr>
        <w:t>This memorandum has been generated with the assistance of an AI-powered legal review system and must be reviewed, verified, and approved by a qualified Pakistani advocate before being relied upon. It does not constitute legal advice. All findings should be independently verified against original documents.</w:t>
      </w:r>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color w:val="0070A4"/>
        <w:sz w:val="18"/>
      </w:rPr>
      <w:t>Josh and Mak International — Legal Due Diligence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