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C6E"/>
          <w:sz w:val="32"/>
        </w:rPr>
        <w:t>JOSH AND MAK INTERNATIONAL</w:t>
      </w:r>
    </w:p>
    <w:p>
      <w:pPr>
        <w:jc w:val="center"/>
      </w:pPr>
      <w:r>
        <w:rPr>
          <w:i/>
          <w:color w:val="0070A4"/>
          <w:sz w:val="20"/>
        </w:rPr>
        <w:t>Advocates &amp; Legal Consultants — Legal 500 Ranked</w:t>
      </w:r>
    </w:p>
    <w:p>
      <w:pPr>
        <w:jc w:val="center"/>
      </w:pPr>
      <w:r>
        <w:rPr>
          <w:color w:val="0070A4"/>
          <w:sz w:val="18"/>
        </w:rPr>
        <w:t>No. 01, LG Floor, Josh and Mak International, Park Avenue, Hamza Rd, F-11/1, Islamabad, 44000 · +92-304-8734889 · aemen@joshandmak.com</w:t>
      </w:r>
    </w:p>
    <w:p>
      <w:pPr>
        <w:jc w:val="center"/>
      </w:pPr>
      <w:r>
        <w:rPr>
          <w:color w:val="143C6E"/>
          <w:sz w:val="16"/>
        </w:rPr>
        <w:t>────────────────────────────────────────────────────────────</w:t>
      </w:r>
    </w:p>
    <w:p/>
    <w:p>
      <w:pPr>
        <w:jc w:val="center"/>
      </w:pPr>
      <w:r>
        <w:rPr>
          <w:b/>
          <w:color w:val="143C6E"/>
          <w:sz w:val="36"/>
        </w:rPr>
        <w:t>DUE DILIGENCE REVIEW MEMORANDUM</w:t>
      </w:r>
    </w:p>
    <w:p>
      <w:pPr>
        <w:jc w:val="center"/>
      </w:pPr>
      <w:r>
        <w:rPr>
          <w:color w:val="0070A4"/>
          <w:sz w:val="26"/>
        </w:rPr>
        <w:t>Property Transaction — Islamabad</w:t>
      </w:r>
    </w:p>
    <w:p/>
    <w:p>
      <w:pPr>
        <w:spacing w:before="160" w:after="80"/>
      </w:pPr>
      <w:r>
        <w:rPr>
          <w:b/>
          <w:color w:val="143C6E"/>
          <w:sz w:val="26"/>
        </w:rPr>
        <w:t>1. Transaction Summary</w:t>
      </w:r>
    </w:p>
    <w:tbl>
      <w:tblPr>
        <w:tblStyle w:val="TableGrid"/>
        <w:tblW w:type="auto" w:w="0"/>
        <w:jc w:val="left"/>
        <w:tblLook w:firstColumn="1" w:firstRow="1" w:lastColumn="0" w:lastRow="0" w:noHBand="0" w:noVBand="1" w:val="04A0"/>
      </w:tblPr>
      <w:tblGrid>
        <w:gridCol w:w="4561"/>
        <w:gridCol w:w="4561"/>
      </w:tblGrid>
      <w:tr>
        <w:tc>
          <w:tcPr>
            <w:tcW w:type="dxa" w:w="4561"/>
          </w:tcPr>
          <w:p>
            <w:r>
              <w:rPr>
                <w:b/>
                <w:color w:val="143C6E"/>
                <w:sz w:val="20"/>
              </w:rPr>
              <w:t>Prepared by</w:t>
            </w:r>
          </w:p>
        </w:tc>
        <w:tc>
          <w:tcPr>
            <w:tcW w:type="dxa" w:w="4561"/>
          </w:tcPr>
          <w:p>
            <w:r>
              <w:rPr>
                <w:b w:val="0"/>
                <w:sz w:val="20"/>
              </w:rPr>
              <w:t>Josh and Mak International</w:t>
            </w:r>
          </w:p>
        </w:tc>
      </w:tr>
      <w:tr>
        <w:tc>
          <w:tcPr>
            <w:tcW w:type="dxa" w:w="4561"/>
          </w:tcPr>
          <w:p>
            <w:r>
              <w:rPr>
                <w:b/>
                <w:color w:val="143C6E"/>
                <w:sz w:val="20"/>
              </w:rPr>
              <w:t>Date</w:t>
            </w:r>
          </w:p>
        </w:tc>
        <w:tc>
          <w:tcPr>
            <w:tcW w:type="dxa" w:w="4561"/>
          </w:tcPr>
          <w:p>
            <w:r>
              <w:rPr>
                <w:b w:val="0"/>
                <w:sz w:val="20"/>
              </w:rPr>
              <w:t>05 July 2026</w:t>
            </w:r>
          </w:p>
        </w:tc>
      </w:tr>
      <w:tr>
        <w:tc>
          <w:tcPr>
            <w:tcW w:type="dxa" w:w="4561"/>
          </w:tcPr>
          <w:p>
            <w:r>
              <w:rPr>
                <w:b/>
                <w:color w:val="143C6E"/>
                <w:sz w:val="20"/>
              </w:rPr>
              <w:t>Transaction type</w:t>
            </w:r>
          </w:p>
        </w:tc>
        <w:tc>
          <w:tcPr>
            <w:tcW w:type="dxa" w:w="4561"/>
          </w:tcPr>
          <w:p>
            <w:r>
              <w:rPr>
                <w:b w:val="0"/>
                <w:sz w:val="20"/>
              </w:rPr>
              <w:t>Property</w:t>
            </w:r>
          </w:p>
        </w:tc>
      </w:tr>
      <w:tr>
        <w:tc>
          <w:tcPr>
            <w:tcW w:type="dxa" w:w="4561"/>
          </w:tcPr>
          <w:p>
            <w:r>
              <w:rPr>
                <w:b/>
                <w:color w:val="143C6E"/>
                <w:sz w:val="20"/>
              </w:rPr>
              <w:t>City / Authority</w:t>
            </w:r>
          </w:p>
        </w:tc>
        <w:tc>
          <w:tcPr>
            <w:tcW w:type="dxa" w:w="4561"/>
          </w:tcPr>
          <w:p>
            <w:r>
              <w:rPr>
                <w:b w:val="0"/>
                <w:sz w:val="20"/>
              </w:rPr>
              <w:t>Islamabad</w:t>
            </w:r>
          </w:p>
        </w:tc>
      </w:tr>
      <w:tr>
        <w:tc>
          <w:tcPr>
            <w:tcW w:type="dxa" w:w="4561"/>
          </w:tcPr>
          <w:p>
            <w:r>
              <w:rPr>
                <w:b/>
                <w:color w:val="143C6E"/>
                <w:sz w:val="20"/>
              </w:rPr>
              <w:t>Documents reviewed</w:t>
            </w:r>
          </w:p>
        </w:tc>
        <w:tc>
          <w:tcPr>
            <w:tcW w:type="dxa" w:w="4561"/>
          </w:tcPr>
          <w:p>
            <w:r>
              <w:rPr>
                <w:b w:val="0"/>
                <w:sz w:val="20"/>
              </w:rPr>
              <w:t>1</w:t>
            </w:r>
          </w:p>
        </w:tc>
      </w:tr>
      <w:tr>
        <w:tc>
          <w:tcPr>
            <w:tcW w:type="dxa" w:w="4561"/>
          </w:tcPr>
          <w:p>
            <w:r>
              <w:rPr>
                <w:b/>
                <w:color w:val="143C6E"/>
                <w:sz w:val="20"/>
              </w:rPr>
              <w:t>Questions assessed</w:t>
            </w:r>
          </w:p>
        </w:tc>
        <w:tc>
          <w:tcPr>
            <w:tcW w:type="dxa" w:w="4561"/>
          </w:tcPr>
          <w:p>
            <w:r>
              <w:rPr>
                <w:b w:val="0"/>
                <w:sz w:val="20"/>
              </w:rPr>
              <w:t>15</w:t>
            </w:r>
          </w:p>
        </w:tc>
      </w:tr>
    </w:tbl>
    <w:p/>
    <w:p>
      <w:pPr>
        <w:spacing w:before="160" w:after="80"/>
      </w:pPr>
      <w:r>
        <w:rPr>
          <w:b/>
          <w:color w:val="143C6E"/>
          <w:sz w:val="26"/>
        </w:rPr>
        <w:t>2. Risk Summary</w:t>
      </w:r>
    </w:p>
    <w:tbl>
      <w:tblPr>
        <w:tblStyle w:val="TableGrid"/>
        <w:tblW w:type="auto" w:w="0"/>
        <w:jc w:val="left"/>
        <w:tblLook w:firstColumn="1" w:firstRow="1" w:lastColumn="0" w:lastRow="0" w:noHBand="0" w:noVBand="1" w:val="04A0"/>
      </w:tblPr>
      <w:tblGrid>
        <w:gridCol w:w="3041"/>
        <w:gridCol w:w="3041"/>
        <w:gridCol w:w="3041"/>
      </w:tblGrid>
      <w:tr>
        <w:tc>
          <w:tcPr>
            <w:tcW w:type="dxa" w:w="3041"/>
          </w:tcPr>
          <w:p>
            <w:r>
              <w:rPr>
                <w:b/>
                <w:color w:val="AA2323"/>
                <w:sz w:val="20"/>
              </w:rPr>
              <w:t>🔴 HIGH Risk</w:t>
              <w:br/>
              <w:t>7 item(s)</w:t>
            </w:r>
          </w:p>
        </w:tc>
        <w:tc>
          <w:tcPr>
            <w:tcW w:type="dxa" w:w="3041"/>
          </w:tcPr>
          <w:p>
            <w:r>
              <w:rPr>
                <w:b/>
                <w:color w:val="B85C00"/>
                <w:sz w:val="20"/>
              </w:rPr>
              <w:t>🟡 MEDIUM Risk</w:t>
              <w:br/>
              <w:t>0 item(s)</w:t>
            </w:r>
          </w:p>
        </w:tc>
        <w:tc>
          <w:tcPr>
            <w:tcW w:type="dxa" w:w="3041"/>
          </w:tcPr>
          <w:p>
            <w:r>
              <w:rPr>
                <w:b/>
                <w:color w:val="1E6E37"/>
                <w:sz w:val="20"/>
              </w:rPr>
              <w:t>🟢 LOW Risk</w:t>
              <w:br/>
              <w:t>8 item(s)</w:t>
            </w:r>
          </w:p>
        </w:tc>
      </w:tr>
    </w:tbl>
    <w:p/>
    <w:p>
      <w:pPr>
        <w:spacing w:before="160" w:after="80"/>
      </w:pPr>
      <w:r>
        <w:rPr>
          <w:b/>
          <w:color w:val="143C6E"/>
          <w:sz w:val="26"/>
        </w:rPr>
        <w:t>3. Red Flags Detected</w:t>
      </w:r>
    </w:p>
    <w:p>
      <w:pPr>
        <w:pStyle w:val="ListBullet"/>
      </w:pPr>
      <w:r>
        <w:rPr>
          <w:b/>
          <w:color w:val="AA2323"/>
        </w:rPr>
        <w:t>[RF003] Undisclosed litigation or court order</w:t>
      </w:r>
      <w:r>
        <w:rPr>
          <w:color w:val="0070A4"/>
          <w:sz w:val="18"/>
        </w:rPr>
        <w:br/>
        <w:t xml:space="preserve">    Statute: Transfer of Property Act 1882, Section 52</w:t>
        <w:br/>
        <w:t xml:space="preserve">    Constitutional basis: Article 24 — Protection of property rights</w:t>
      </w:r>
    </w:p>
    <w:p>
      <w:pPr>
        <w:pStyle w:val="ListBullet"/>
      </w:pPr>
      <w:r>
        <w:rPr>
          <w:b/>
          <w:color w:val="AA2323"/>
        </w:rPr>
        <w:t>[RF004] Third-party or co-owner interest without consent</w:t>
      </w:r>
      <w:r>
        <w:rPr>
          <w:color w:val="0070A4"/>
          <w:sz w:val="18"/>
        </w:rPr>
        <w:br/>
        <w:t xml:space="preserve">    Statute: Muslim Family Laws Ordinance 1961</w:t>
        <w:br/>
        <w:t xml:space="preserve">    Constitutional basis: Article 25 — Equality of citizens</w:t>
      </w:r>
    </w:p>
    <w:p/>
    <w:p>
      <w:pPr>
        <w:spacing w:before="160" w:after="80"/>
      </w:pPr>
      <w:r>
        <w:rPr>
          <w:b/>
          <w:color w:val="143C6E"/>
          <w:sz w:val="26"/>
        </w:rPr>
        <w:t>4. Clause-by-Clause Findings</w:t>
      </w:r>
    </w:p>
    <w:p>
      <w:r>
        <w:rPr>
          <w:b/>
          <w:color w:val="143C6E"/>
          <w:sz w:val="22"/>
        </w:rPr>
        <w:t>Q1. Is the title deed present and registered in the name of the vendor? Verify Registry number, Sub-Registrar office, and re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title deed, registry number, Sub-Registrar office, or registration date information.</w:t>
            </w:r>
          </w:p>
        </w:tc>
      </w:tr>
      <w:tr>
        <w:tc>
          <w:tcPr>
            <w:tcW w:type="dxa" w:w="4561"/>
          </w:tcPr>
          <w:p>
            <w:r>
              <w:rPr>
                <w:b/>
                <w:color w:val="143C6E"/>
                <w:sz w:val="20"/>
              </w:rPr>
              <w:t>Reasoning</w:t>
            </w:r>
          </w:p>
        </w:tc>
        <w:tc>
          <w:tcPr>
            <w:tcW w:type="dxa" w:w="4561"/>
          </w:tcPr>
          <w:p>
            <w:r>
              <w:rPr>
                <w:b w:val="0"/>
                <w:sz w:val="20"/>
              </w:rPr>
              <w:t>Reviewed all pages (2, 3, 5) of the source file P2_ML.pdf. The content pertains to an AI/ML internship problem statement, solution proposal, and submission schedule for a law‑firm document‑review tool. No reference to a specific property title deed, its registration details, or vendor name is present. Therefore the required verification cannot be performed from the available material.</w:t>
            </w:r>
          </w:p>
        </w:tc>
      </w:tr>
      <w:tr>
        <w:tc>
          <w:tcPr>
            <w:tcW w:type="dxa" w:w="4561"/>
          </w:tcPr>
          <w:p>
            <w:r>
              <w:rPr>
                <w:b/>
                <w:color w:val="143C6E"/>
                <w:sz w:val="20"/>
              </w:rPr>
              <w:t>Document citation</w:t>
            </w:r>
          </w:p>
        </w:tc>
        <w:tc>
          <w:tcPr>
            <w:tcW w:type="dxa" w:w="4561"/>
          </w:tcPr>
          <w:p>
            <w:r>
              <w:rPr>
                <w:b w:val="0"/>
                <w:sz w:val="20"/>
              </w:rPr>
              <w:t>None</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Request the actual title deed and its registration certificate from the client or vendor. Once obtained, verify that the deed is in the vendor's name, confirm the registry number, Sub‑Registrar office, and registration date against the official land records.</w:t>
            </w:r>
          </w:p>
        </w:tc>
      </w:tr>
    </w:tbl>
    <w:p/>
    <w:p>
      <w:r>
        <w:rPr>
          <w:b/>
          <w:color w:val="143C6E"/>
          <w:sz w:val="22"/>
        </w:rPr>
        <w:t>Q2. Is the property free from all encumbrances, mortgages, charges, or liens? Check for any bank charges or third-party clai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status of encumbrances, mortgages, charges, or liens on the property.</w:t>
            </w:r>
          </w:p>
        </w:tc>
      </w:tr>
      <w:tr>
        <w:tc>
          <w:tcPr>
            <w:tcW w:type="dxa" w:w="4561"/>
          </w:tcPr>
          <w:p>
            <w:r>
              <w:rPr>
                <w:b/>
                <w:color w:val="143C6E"/>
                <w:sz w:val="20"/>
              </w:rPr>
              <w:t>Reasoning</w:t>
            </w:r>
          </w:p>
        </w:tc>
        <w:tc>
          <w:tcPr>
            <w:tcW w:type="dxa" w:w="4561"/>
          </w:tcPr>
          <w:p>
            <w:r>
              <w:rPr>
                <w:b w:val="0"/>
                <w:sz w:val="20"/>
              </w:rPr>
              <w:t>A review of the supplied pages (2, 3, and 5 of P2_ML.pdf) reveals only a description of a law‑firm document‑review problem statement and proposed AI/ML solution. No property title, encumbrance certificate, mortgage deed, or related clause is present. Consequently, no determination can be made about the existence of bank charges or third‑party claims.</w:t>
            </w:r>
          </w:p>
        </w:tc>
      </w:tr>
      <w:tr>
        <w:tc>
          <w:tcPr>
            <w:tcW w:type="dxa" w:w="4561"/>
          </w:tcPr>
          <w:p>
            <w:r>
              <w:rPr>
                <w:b/>
                <w:color w:val="143C6E"/>
                <w:sz w:val="20"/>
              </w:rPr>
              <w:t>Document citation</w:t>
            </w:r>
          </w:p>
        </w:tc>
        <w:tc>
          <w:tcPr>
            <w:tcW w:type="dxa" w:w="4561"/>
          </w:tcPr>
          <w:p>
            <w:r>
              <w:rPr>
                <w:b w:val="0"/>
                <w:sz w:val="20"/>
              </w:rPr>
              <w:t>P2_ML.pdf, pages 2, 3, 5 – no relevant property documents found</w:t>
            </w:r>
          </w:p>
        </w:tc>
      </w:tr>
      <w:tr>
        <w:tc>
          <w:tcPr>
            <w:tcW w:type="dxa" w:w="4561"/>
          </w:tcPr>
          <w:p>
            <w:r>
              <w:rPr>
                <w:b/>
                <w:color w:val="143C6E"/>
                <w:sz w:val="20"/>
              </w:rPr>
              <w:t>Statutory citation</w:t>
            </w:r>
          </w:p>
        </w:tc>
        <w:tc>
          <w:tcPr>
            <w:tcW w:type="dxa" w:w="4561"/>
          </w:tcPr>
          <w:p>
            <w:r>
              <w:rPr>
                <w:b w:val="0"/>
                <w:sz w:val="20"/>
              </w:rPr>
              <w:t>Transfer of Property Act, 1882, Sec. 5 &amp; 6 (transfer of property and registration of title); Registration Act, 1908, Sec. 17 (registration of documents affecting title); Stamp Act, 1899, Sec. 2 (stamp duty on conveyance instruments)</w:t>
            </w:r>
          </w:p>
        </w:tc>
      </w:tr>
      <w:tr>
        <w:tc>
          <w:tcPr>
            <w:tcW w:type="dxa" w:w="4561"/>
          </w:tcPr>
          <w:p>
            <w:r>
              <w:rPr>
                <w:b/>
                <w:color w:val="143C6E"/>
                <w:sz w:val="20"/>
              </w:rPr>
              <w:t>Constitutional basis</w:t>
            </w:r>
          </w:p>
        </w:tc>
        <w:tc>
          <w:tcPr>
            <w:tcW w:type="dxa" w:w="4561"/>
          </w:tcPr>
          <w:p>
            <w:r>
              <w:rPr>
                <w:b w:val="0"/>
                <w:sz w:val="20"/>
              </w:rPr>
              <w:t>Article 23 of the Constitution of Pakistan 1973 –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and review the property's title deed, encumbrance certificate, mortgage documents, and any bank or third‑party charge statements. Conduct a thorough title search at the relevant Sub‑Registrar Office and verify that all necessary registrations and stamp duties have been complied with before proceeding.</w:t>
            </w:r>
          </w:p>
        </w:tc>
      </w:tr>
    </w:tbl>
    <w:p/>
    <w:p>
      <w:r>
        <w:rPr>
          <w:b/>
          <w:color w:val="143C6E"/>
          <w:sz w:val="22"/>
        </w:rPr>
        <w:t>Q3. Are all required NOCs present — from LDA/CDA/RDA/TMA and all relevant local authorities? Identify which authority issued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supplied documents (P2_ML.pdf pages 2‑4) contain no references to any No‑Objection Certificates (NOCs) issued by LDA, CDA, RDA, TMA, or any other local authority.</w:t>
            </w:r>
          </w:p>
        </w:tc>
      </w:tr>
      <w:tr>
        <w:tc>
          <w:tcPr>
            <w:tcW w:type="dxa" w:w="4561"/>
          </w:tcPr>
          <w:p>
            <w:r>
              <w:rPr>
                <w:b/>
                <w:color w:val="143C6E"/>
                <w:sz w:val="20"/>
              </w:rPr>
              <w:t>Reasoning</w:t>
            </w:r>
          </w:p>
        </w:tc>
        <w:tc>
          <w:tcPr>
            <w:tcW w:type="dxa" w:w="4561"/>
          </w:tcPr>
          <w:p>
            <w:r>
              <w:rPr>
                <w:b w:val="0"/>
                <w:sz w:val="20"/>
              </w:rPr>
              <w:t>Reviewed page 2 (problem statement), page 3 (solution overview) and page 4 (submission schedule) of P2_ML.pdf. None of these sections mention NOCs, authority approvals, or related compliance checklists. Therefore no information on the presence or source of required NOCs can be extracted from the provided material.</w:t>
            </w:r>
          </w:p>
        </w:tc>
      </w:tr>
      <w:tr>
        <w:tc>
          <w:tcPr>
            <w:tcW w:type="dxa" w:w="4561"/>
          </w:tcPr>
          <w:p>
            <w:r>
              <w:rPr>
                <w:b/>
                <w:color w:val="143C6E"/>
                <w:sz w:val="20"/>
              </w:rPr>
              <w:t>Document citation</w:t>
            </w:r>
          </w:p>
        </w:tc>
        <w:tc>
          <w:tcPr>
            <w:tcW w:type="dxa" w:w="4561"/>
          </w:tcPr>
          <w:p>
            <w:r>
              <w:rPr>
                <w:b w:val="0"/>
                <w:sz w:val="20"/>
              </w:rPr>
              <w:t>P2_ML.pdf, pages 2-4</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and review the actual NOC documents from each relevant authority (LDA, CDA, RDA, TMA, and any other applicable local bodies). Verify that each NOC is valid, correctly signed, and corresponds to the transaction in question before proceeding with the due‑diligence memorandum.</w:t>
            </w:r>
          </w:p>
        </w:tc>
      </w:tr>
    </w:tbl>
    <w:p/>
    <w:p>
      <w:r>
        <w:rPr>
          <w:b/>
          <w:color w:val="143C6E"/>
          <w:sz w:val="22"/>
        </w:rPr>
        <w:t>Q4. Are the property boundaries, Khasra number, Khata number, and area measurements consistent across all submitted document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property boundaries, Khasra numbers, Khata numbers, or area measurements.</w:t>
            </w:r>
          </w:p>
        </w:tc>
      </w:tr>
      <w:tr>
        <w:tc>
          <w:tcPr>
            <w:tcW w:type="dxa" w:w="4561"/>
          </w:tcPr>
          <w:p>
            <w:r>
              <w:rPr>
                <w:b/>
                <w:color w:val="143C6E"/>
                <w:sz w:val="20"/>
              </w:rPr>
              <w:t>Reasoning</w:t>
            </w:r>
          </w:p>
        </w:tc>
        <w:tc>
          <w:tcPr>
            <w:tcW w:type="dxa" w:w="4561"/>
          </w:tcPr>
          <w:p>
            <w:r>
              <w:rPr>
                <w:b w:val="0"/>
                <w:sz w:val="20"/>
              </w:rPr>
              <w:t>Reviewed the content of P2_ML.pdf pages 2, 4, and 5, which focus on the AI/ML internship problem statement, project deliverables, and solution architecture for a document review tool. No sections reference property details, cadastral identifiers, or measurement data. Therefore, consistency cannot be assessed from the available material.</w:t>
            </w:r>
          </w:p>
        </w:tc>
      </w:tr>
      <w:tr>
        <w:tc>
          <w:tcPr>
            <w:tcW w:type="dxa" w:w="4561"/>
          </w:tcPr>
          <w:p>
            <w:r>
              <w:rPr>
                <w:b/>
                <w:color w:val="143C6E"/>
                <w:sz w:val="20"/>
              </w:rPr>
              <w:t>Document citation</w:t>
            </w:r>
          </w:p>
        </w:tc>
        <w:tc>
          <w:tcPr>
            <w:tcW w:type="dxa" w:w="4561"/>
          </w:tcPr>
          <w:p>
            <w:r>
              <w:rPr>
                <w:b w:val="0"/>
                <w:sz w:val="20"/>
              </w:rPr>
              <w:t>P2_ML.pdf, pages 2, 4, 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Request the actual property documents (title deed, survey map, Khasra extract, Khata certificate, and any measurement statements) and perform a manual or AI‑assisted comparison to verify that boundaries, Khasra number, Khata number, and area measurements are consistent across all files.</w:t>
            </w:r>
          </w:p>
        </w:tc>
      </w:tr>
    </w:tbl>
    <w:p/>
    <w:p>
      <w:r>
        <w:rPr>
          <w:b/>
          <w:color w:val="143C6E"/>
          <w:sz w:val="22"/>
        </w:rPr>
        <w:t>Q5. Is there any ongoing or threatened litigation, court order, injunction, or caveat against the property or the vendor?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No information regarding ongoing or threatened litigation, court orders, injunctions, or caveats against the property or the vendor is present in the provided documents.</w:t>
            </w:r>
          </w:p>
        </w:tc>
      </w:tr>
      <w:tr>
        <w:tc>
          <w:tcPr>
            <w:tcW w:type="dxa" w:w="4561"/>
          </w:tcPr>
          <w:p>
            <w:r>
              <w:rPr>
                <w:b/>
                <w:color w:val="143C6E"/>
                <w:sz w:val="20"/>
              </w:rPr>
              <w:t>Reasoning</w:t>
            </w:r>
          </w:p>
        </w:tc>
        <w:tc>
          <w:tcPr>
            <w:tcW w:type="dxa" w:w="4561"/>
          </w:tcPr>
          <w:p>
            <w:r>
              <w:rPr>
                <w:b w:val="0"/>
                <w:sz w:val="20"/>
              </w:rPr>
              <w:t>The supplied pages (2, 3, and 5 of P2_ML.pdf) describe the problem statement, proposed AI/ML solution, and project deliverables for a law‑firm document‑review tool. They contain no references to any specific property, vendor, or any litigation status. Therefore, the query cannot be answered from the available context.</w:t>
            </w:r>
          </w:p>
        </w:tc>
      </w:tr>
      <w:tr>
        <w:tc>
          <w:tcPr>
            <w:tcW w:type="dxa" w:w="4561"/>
          </w:tcPr>
          <w:p>
            <w:r>
              <w:rPr>
                <w:b/>
                <w:color w:val="143C6E"/>
                <w:sz w:val="20"/>
              </w:rPr>
              <w:t>Document citation</w:t>
            </w:r>
          </w:p>
        </w:tc>
        <w:tc>
          <w:tcPr>
            <w:tcW w:type="dxa" w:w="4561"/>
          </w:tcPr>
          <w:p>
            <w:r>
              <w:rPr>
                <w:b w:val="0"/>
                <w:sz w:val="20"/>
              </w:rPr>
              <w:t>P2_ML.pdf, pages 2, 3, 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 formal title search and litigation search report for the property and vendor from the relevant land registry and court records before proceeding with any transaction.</w:t>
            </w:r>
          </w:p>
        </w:tc>
      </w:tr>
    </w:tbl>
    <w:p/>
    <w:p>
      <w:r>
        <w:rPr>
          <w:b/>
          <w:color w:val="143C6E"/>
          <w:sz w:val="22"/>
        </w:rPr>
        <w:t>Q6. Is the sale consideration consistent across all documents? Is it supported by bank evidence, pay orders, or payment rece</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sale consideration, bank evidence, pay orders, or payment receipts.</w:t>
            </w:r>
          </w:p>
        </w:tc>
      </w:tr>
      <w:tr>
        <w:tc>
          <w:tcPr>
            <w:tcW w:type="dxa" w:w="4561"/>
          </w:tcPr>
          <w:p>
            <w:r>
              <w:rPr>
                <w:b/>
                <w:color w:val="143C6E"/>
                <w:sz w:val="20"/>
              </w:rPr>
              <w:t>Reasoning</w:t>
            </w:r>
          </w:p>
        </w:tc>
        <w:tc>
          <w:tcPr>
            <w:tcW w:type="dxa" w:w="4561"/>
          </w:tcPr>
          <w:p>
            <w:r>
              <w:rPr>
                <w:b w:val="0"/>
                <w:sz w:val="20"/>
              </w:rPr>
              <w:t>A review of the source file P2_ML.pdf (pages 2‑5) reveals only a description of a law‑firm document‑review problem, proposed AI/ML solution, and project schedule. No transaction documents, sale agreements, or financial evidence are included, therefore the consistency of sale consideration cannot be assessed from the available material.</w:t>
            </w:r>
          </w:p>
        </w:tc>
      </w:tr>
      <w:tr>
        <w:tc>
          <w:tcPr>
            <w:tcW w:type="dxa" w:w="4561"/>
          </w:tcPr>
          <w:p>
            <w:r>
              <w:rPr>
                <w:b/>
                <w:color w:val="143C6E"/>
                <w:sz w:val="20"/>
              </w:rPr>
              <w:t>Document citation</w:t>
            </w:r>
          </w:p>
        </w:tc>
        <w:tc>
          <w:tcPr>
            <w:tcW w:type="dxa" w:w="4561"/>
          </w:tcPr>
          <w:p>
            <w:r>
              <w:rPr>
                <w:b w:val="0"/>
                <w:sz w:val="20"/>
              </w:rPr>
              <w:t>P2_ML.pdf, pages 2‑5 (no relevant sale consideration data)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and review the actual transaction documents (sale agreement, bank statements, pay orders, payment receipts) to verify consistency of the sale consideration and ensure supporting financial evidence is present.</w:t>
            </w:r>
          </w:p>
        </w:tc>
      </w:tr>
    </w:tbl>
    <w:p/>
    <w:p>
      <w:r>
        <w:rPr>
          <w:b/>
          <w:color w:val="143C6E"/>
          <w:sz w:val="22"/>
        </w:rPr>
        <w:t>Q7. Are all signatures, attestations, thumb impressions, and notarial certifications present and valid on all documents?</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context does not contain any information regarding the presence or validity of signatures, attestations, thumb impressions, or notarial certifications on the documents.</w:t>
            </w:r>
          </w:p>
        </w:tc>
      </w:tr>
      <w:tr>
        <w:tc>
          <w:tcPr>
            <w:tcW w:type="dxa" w:w="4561"/>
          </w:tcPr>
          <w:p>
            <w:r>
              <w:rPr>
                <w:b/>
                <w:color w:val="143C6E"/>
                <w:sz w:val="20"/>
              </w:rPr>
              <w:t>Reasoning</w:t>
            </w:r>
          </w:p>
        </w:tc>
        <w:tc>
          <w:tcPr>
            <w:tcW w:type="dxa" w:w="4561"/>
          </w:tcPr>
          <w:p>
            <w:r>
              <w:rPr>
                <w:b w:val="0"/>
                <w:sz w:val="20"/>
              </w:rPr>
              <w:t>Reviewed pages 2, 3, and 5 of the source file P2_ML.pdf. The content focuses on the AI/ML internship problem statement, solution overview, and submission requirements for a document review system. No mention is made of specific document verification items such as signatures, attestations, thumb impressions, or notarial certifications. Therefore, the required information is not available in the supplied material.</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r>
          </w:p>
        </w:tc>
      </w:tr>
      <w:tr>
        <w:tc>
          <w:tcPr>
            <w:tcW w:type="dxa" w:w="4561"/>
          </w:tcPr>
          <w:p>
            <w:r>
              <w:rPr>
                <w:b/>
                <w:color w:val="143C6E"/>
                <w:sz w:val="20"/>
              </w:rPr>
              <w:t>Constitutional basis</w:t>
            </w:r>
          </w:p>
        </w:tc>
        <w:tc>
          <w:tcPr>
            <w:tcW w:type="dxa" w:w="4561"/>
          </w:tcPr>
          <w:p>
            <w:r>
              <w:rPr>
                <w:b w:val="0"/>
                <w:sz w:val="20"/>
              </w:rPr>
              <w:t>Article 23 — Right to acquire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the actual legal document bundle intended for due diligence and conduct a thorough manual or AI‑assisted verification of all required signatures, attestations, thumb impressions, and notarial certifications to ensure compliance with applicable Pakistani statutes (e.g., Registration Act 1908, Stamp Act 1899).</w:t>
            </w:r>
          </w:p>
        </w:tc>
      </w:tr>
    </w:tbl>
    <w:p/>
    <w:p>
      <w:r>
        <w:rPr>
          <w:b/>
          <w:color w:val="143C6E"/>
          <w:sz w:val="22"/>
        </w:rPr>
        <w:t>Q8. Is the land use classification consistent with the intended purpose of acquisition? Check for residential, commercial, o</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land use classification, zoning status, or the intended purpose of the acquisition.</w:t>
            </w:r>
          </w:p>
        </w:tc>
      </w:tr>
      <w:tr>
        <w:tc>
          <w:tcPr>
            <w:tcW w:type="dxa" w:w="4561"/>
          </w:tcPr>
          <w:p>
            <w:r>
              <w:rPr>
                <w:b/>
                <w:color w:val="143C6E"/>
                <w:sz w:val="20"/>
              </w:rPr>
              <w:t>Reasoning</w:t>
            </w:r>
          </w:p>
        </w:tc>
        <w:tc>
          <w:tcPr>
            <w:tcW w:type="dxa" w:w="4561"/>
          </w:tcPr>
          <w:p>
            <w:r>
              <w:rPr>
                <w:b w:val="0"/>
                <w:sz w:val="20"/>
              </w:rPr>
              <w:t>A review of all pages (1-4) of the source file P2_ML.pdf reveals content solely about an AI/ML internship problem, due‑diligence workflow challenges, and system design specifications. No references to property titles, zoning certificates, land use maps, or related statutory provisions were identified. Consequently, the consistency of land use classification cannot be assessed from the available material.</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relevant land records, including the official land use certificate, zoning plan, and title deed, and run them through the RAG document review system to verify that the classification (residential, commercial, or agricultural) aligns with the acquisition purpose.</w:t>
            </w:r>
          </w:p>
        </w:tc>
      </w:tr>
    </w:tbl>
    <w:p/>
    <w:p>
      <w:r>
        <w:rPr>
          <w:b/>
          <w:color w:val="143C6E"/>
          <w:sz w:val="22"/>
        </w:rPr>
        <w:t xml:space="preserve">Q9. Are utility connections — electricity, gas, water, PTCL — documented and registered in the vendor's name? Are there any </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utility connections, registration in the vendor's name, or outstanding utility dues.</w:t>
            </w:r>
          </w:p>
        </w:tc>
      </w:tr>
      <w:tr>
        <w:tc>
          <w:tcPr>
            <w:tcW w:type="dxa" w:w="4561"/>
          </w:tcPr>
          <w:p>
            <w:r>
              <w:rPr>
                <w:b/>
                <w:color w:val="143C6E"/>
                <w:sz w:val="20"/>
              </w:rPr>
              <w:t>Reasoning</w:t>
            </w:r>
          </w:p>
        </w:tc>
        <w:tc>
          <w:tcPr>
            <w:tcW w:type="dxa" w:w="4561"/>
          </w:tcPr>
          <w:p>
            <w:r>
              <w:rPr>
                <w:b w:val="0"/>
                <w:sz w:val="20"/>
              </w:rPr>
              <w:t>Reviewed pages 2, 3, and 5 of the source file P2_ML.pdf. The content focuses on AI/ML internship problem statements, proposed solution architecture, and submission schedules for a document review system. No sections mention utility connections, vendor registration, or utility payment status. Therefore, the required information is absent.</w:t>
            </w:r>
          </w:p>
        </w:tc>
      </w:tr>
      <w:tr>
        <w:tc>
          <w:tcPr>
            <w:tcW w:type="dxa" w:w="4561"/>
          </w:tcPr>
          <w:p>
            <w:r>
              <w:rPr>
                <w:b/>
                <w:color w:val="143C6E"/>
                <w:sz w:val="20"/>
              </w:rPr>
              <w:t>Document citation</w:t>
            </w:r>
          </w:p>
        </w:tc>
        <w:tc>
          <w:tcPr>
            <w:tcW w:type="dxa" w:w="4561"/>
          </w:tcPr>
          <w:p>
            <w:r>
              <w:rPr>
                <w:b w:val="0"/>
                <w:sz w:val="20"/>
              </w:rPr>
              <w:t>P2_ML.pdf, pages 2-5</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the vendor's utility connection certificates, registration documents, and the latest utility bills (electricity, gas, water, PTCL) to verify registration and confirm that there are no outstanding dues before proceeding with the transaction.</w:t>
            </w:r>
          </w:p>
        </w:tc>
      </w:tr>
    </w:tbl>
    <w:p/>
    <w:p>
      <w:r>
        <w:rPr>
          <w:b/>
          <w:color w:val="143C6E"/>
          <w:sz w:val="22"/>
        </w:rPr>
        <w:t>Q10. Are all outstanding property taxes, withholding taxes under Sections 236C and 236K of the Income Tax Ordinance 2001, CVT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disclosure or settlement of outstanding property taxes, withholding taxes under Sections 236C and 236K of the Income Tax Ordinance 2001, Capital Value Tax (CVT), or stamp duty arrears.</w:t>
            </w:r>
          </w:p>
        </w:tc>
      </w:tr>
      <w:tr>
        <w:tc>
          <w:tcPr>
            <w:tcW w:type="dxa" w:w="4561"/>
          </w:tcPr>
          <w:p>
            <w:r>
              <w:rPr>
                <w:b/>
                <w:color w:val="143C6E"/>
                <w:sz w:val="20"/>
              </w:rPr>
              <w:t>Reasoning</w:t>
            </w:r>
          </w:p>
        </w:tc>
        <w:tc>
          <w:tcPr>
            <w:tcW w:type="dxa" w:w="4561"/>
          </w:tcPr>
          <w:p>
            <w:r>
              <w:rPr>
                <w:b w:val="0"/>
                <w:sz w:val="20"/>
              </w:rPr>
              <w:t>Reviewed pages 2, 3, and 5 of P2_ML.pdf. The content pertains solely to an AI/ML internship problem statement, solution overview, and submission schedule for a document review system. No clauses, checklists, or references to tax liabilities, property tax disclosures, withholding tax sections, CVT, or stamp duty are present. Therefore, the required tax disclosure information is absent.</w:t>
            </w:r>
          </w:p>
        </w:tc>
      </w:tr>
      <w:tr>
        <w:tc>
          <w:tcPr>
            <w:tcW w:type="dxa" w:w="4561"/>
          </w:tcPr>
          <w:p>
            <w:r>
              <w:rPr>
                <w:b/>
                <w:color w:val="143C6E"/>
                <w:sz w:val="20"/>
              </w:rPr>
              <w:t>Document citation</w:t>
            </w:r>
          </w:p>
        </w:tc>
        <w:tc>
          <w:tcPr>
            <w:tcW w:type="dxa" w:w="4561"/>
          </w:tcPr>
          <w:p>
            <w:r>
              <w:rPr>
                <w:b w:val="0"/>
                <w:sz w:val="20"/>
              </w:rPr>
              <w:t>P2_ML.pdf, pages 2-5 (no relevant tax information found)</w:t>
            </w:r>
          </w:p>
        </w:tc>
      </w:tr>
      <w:tr>
        <w:tc>
          <w:tcPr>
            <w:tcW w:type="dxa" w:w="4561"/>
          </w:tcPr>
          <w:p>
            <w:r>
              <w:rPr>
                <w:b/>
                <w:color w:val="143C6E"/>
                <w:sz w:val="20"/>
              </w:rPr>
              <w:t>Statutory citation</w:t>
            </w:r>
          </w:p>
        </w:tc>
        <w:tc>
          <w:tcPr>
            <w:tcW w:type="dxa" w:w="4561"/>
          </w:tcPr>
          <w:p>
            <w:r>
              <w:rPr>
                <w:b w:val="0"/>
                <w:sz w:val="20"/>
              </w:rPr>
              <w:t>Income Tax Ordinance 2001, Sec. 236C &amp; 236K; Capital Value Tax Act; Stamp Act 1899</w:t>
            </w:r>
          </w:p>
        </w:tc>
      </w:tr>
      <w:tr>
        <w:tc>
          <w:tcPr>
            <w:tcW w:type="dxa" w:w="4561"/>
          </w:tcPr>
          <w:p>
            <w:r>
              <w:rPr>
                <w:b/>
                <w:color w:val="143C6E"/>
                <w:sz w:val="20"/>
              </w:rPr>
              <w:t>Constitutional basis</w:t>
            </w:r>
          </w:p>
        </w:tc>
        <w:tc>
          <w:tcPr>
            <w:tcW w:type="dxa" w:w="4561"/>
          </w:tcPr>
          <w:p>
            <w:r>
              <w:rPr>
                <w:b w:val="0"/>
                <w:sz w:val="20"/>
              </w:rPr>
              <w:t>Article 23 of the Constitution of Pakistan 1973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and review the following tax clearance documents before proceeding: (1) Property tax clearance certificate, (2) Withholding tax clearance for Sections 236C and 236K, (3) Capital Value Tax (CVT) clearance, and (4) Stamp duty clearance certificate. Ensure these are explicitly disclosed and confirmed as settled in the due‑diligence memorandum.</w:t>
            </w:r>
          </w:p>
        </w:tc>
      </w:tr>
    </w:tbl>
    <w:p/>
    <w:p>
      <w:r>
        <w:rPr>
          <w:b/>
          <w:color w:val="143C6E"/>
          <w:sz w:val="22"/>
        </w:rPr>
        <w:t>Q11. Is the vendor's CNIC number verified and consistent across all transaction documents including the sale deed, NOC, and u</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the vendor's CNIC number verification or its consistency across the sale deed, NOC, and utility bills.</w:t>
            </w:r>
          </w:p>
        </w:tc>
      </w:tr>
      <w:tr>
        <w:tc>
          <w:tcPr>
            <w:tcW w:type="dxa" w:w="4561"/>
          </w:tcPr>
          <w:p>
            <w:r>
              <w:rPr>
                <w:b/>
                <w:color w:val="143C6E"/>
                <w:sz w:val="20"/>
              </w:rPr>
              <w:t>Reasoning</w:t>
            </w:r>
          </w:p>
        </w:tc>
        <w:tc>
          <w:tcPr>
            <w:tcW w:type="dxa" w:w="4561"/>
          </w:tcPr>
          <w:p>
            <w:r>
              <w:rPr>
                <w:b w:val="0"/>
                <w:sz w:val="20"/>
              </w:rPr>
              <w:t>A review of the supplied context (pages 2, 3, and 5 of P2_ML.pdf) reveals only descriptions of an AI/ML due‑diligence prototype and project timelines. No transaction‑specific documents, such as sale deeds, NOCs, utility bills, or any reference to a vendor's CNIC number, are present. Consequently, no verification status or consistency check can be ascertained from the available material.</w:t>
            </w:r>
          </w:p>
        </w:tc>
      </w:tr>
      <w:tr>
        <w:tc>
          <w:tcPr>
            <w:tcW w:type="dxa" w:w="4561"/>
          </w:tcPr>
          <w:p>
            <w:r>
              <w:rPr>
                <w:b/>
                <w:color w:val="143C6E"/>
                <w:sz w:val="20"/>
              </w:rPr>
              <w:t>Document citation</w:t>
            </w:r>
          </w:p>
        </w:tc>
        <w:tc>
          <w:tcPr>
            <w:tcW w:type="dxa" w:w="4561"/>
          </w:tcPr>
          <w:p>
            <w:r>
              <w:rPr>
                <w:b w:val="0"/>
                <w:sz w:val="20"/>
              </w:rPr>
              <w:t>None (no relevant transaction documents provided)</w:t>
            </w:r>
          </w:p>
        </w:tc>
      </w:tr>
      <w:tr>
        <w:tc>
          <w:tcPr>
            <w:tcW w:type="dxa" w:w="4561"/>
          </w:tcPr>
          <w:p>
            <w:r>
              <w:rPr>
                <w:b/>
                <w:color w:val="143C6E"/>
                <w:sz w:val="20"/>
              </w:rPr>
              <w:t>Statutory citation</w:t>
            </w:r>
          </w:p>
        </w:tc>
        <w:tc>
          <w:tcPr>
            <w:tcW w:type="dxa" w:w="4561"/>
          </w:tcPr>
          <w:p>
            <w:r>
              <w:rPr>
                <w:b w:val="0"/>
                <w:sz w:val="20"/>
              </w:rPr>
              <w:t>Registration Act, 1908, Sec. 17 (requirement to correctly identify parties in registration); Stamp Act, 1899, Sec. 2 (necessity of accurate particulars for stamping); Benami Transactions (Prohibition) Act, 2017, Sec. 2 (prohibition of concealment of beneficial ownership)</w:t>
            </w:r>
          </w:p>
        </w:tc>
      </w:tr>
      <w:tr>
        <w:tc>
          <w:tcPr>
            <w:tcW w:type="dxa" w:w="4561"/>
          </w:tcPr>
          <w:p>
            <w:r>
              <w:rPr>
                <w:b/>
                <w:color w:val="143C6E"/>
                <w:sz w:val="20"/>
              </w:rPr>
              <w:t>Constitutional basis</w:t>
            </w:r>
          </w:p>
        </w:tc>
        <w:tc>
          <w:tcPr>
            <w:tcW w:type="dxa" w:w="4561"/>
          </w:tcPr>
          <w:p>
            <w:r>
              <w:rPr>
                <w:b w:val="0"/>
                <w:sz w:val="20"/>
              </w:rPr>
              <w:t>Article 23 of the Constitution of Pakistan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Request the original sale deed, NOC, and utility bills; verify that the vendor's CNIC number is correctly entered in each document; ensure the CNIC matches the vendor's identity documents; obtain a statutory verification (e.g., from NADRA) and document the consistency before proceeding with the transaction.</w:t>
            </w:r>
          </w:p>
        </w:tc>
      </w:tr>
    </w:tbl>
    <w:p/>
    <w:p>
      <w:r>
        <w:rPr>
          <w:b/>
          <w:color w:val="143C6E"/>
          <w:sz w:val="22"/>
        </w:rPr>
        <w:t>Q12. Are there any co-owners, inherited co-sharers, legal heirs, or third-party interests in the property? If so, is their wr</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co-owners, inherited co-sharers, legal heirs, or third‑party interests in the property, nor any written consent for a transfer.</w:t>
            </w:r>
          </w:p>
        </w:tc>
      </w:tr>
      <w:tr>
        <w:tc>
          <w:tcPr>
            <w:tcW w:type="dxa" w:w="4561"/>
          </w:tcPr>
          <w:p>
            <w:r>
              <w:rPr>
                <w:b/>
                <w:color w:val="143C6E"/>
                <w:sz w:val="20"/>
              </w:rPr>
              <w:t>Reasoning</w:t>
            </w:r>
          </w:p>
        </w:tc>
        <w:tc>
          <w:tcPr>
            <w:tcW w:type="dxa" w:w="4561"/>
          </w:tcPr>
          <w:p>
            <w:r>
              <w:rPr>
                <w:b w:val="0"/>
                <w:sz w:val="20"/>
              </w:rPr>
              <w:t>The context supplied consists of an AI/ML internship project description outlining a document‑review solution for law firms. It contains no property title, deed, or stakeholder details. Consequently, no clause or statement about co‑ownership or consent can be identified.</w:t>
            </w:r>
          </w:p>
        </w:tc>
      </w:tr>
      <w:tr>
        <w:tc>
          <w:tcPr>
            <w:tcW w:type="dxa" w:w="4561"/>
          </w:tcPr>
          <w:p>
            <w:r>
              <w:rPr>
                <w:b/>
                <w:color w:val="143C6E"/>
                <w:sz w:val="20"/>
              </w:rPr>
              <w:t>Document citation</w:t>
            </w:r>
          </w:p>
        </w:tc>
        <w:tc>
          <w:tcPr>
            <w:tcW w:type="dxa" w:w="4561"/>
          </w:tcPr>
          <w:p>
            <w:r>
              <w:rPr>
                <w:b w:val="0"/>
                <w:sz w:val="20"/>
              </w:rPr>
              <w:t>None</w:t>
            </w:r>
          </w:p>
        </w:tc>
      </w:tr>
      <w:tr>
        <w:tc>
          <w:tcPr>
            <w:tcW w:type="dxa" w:w="4561"/>
          </w:tcPr>
          <w:p>
            <w:r>
              <w:rPr>
                <w:b/>
                <w:color w:val="143C6E"/>
                <w:sz w:val="20"/>
              </w:rPr>
              <w:t>Statutory citation</w:t>
            </w:r>
          </w:p>
        </w:tc>
        <w:tc>
          <w:tcPr>
            <w:tcW w:type="dxa" w:w="4561"/>
          </w:tcPr>
          <w:p>
            <w:r>
              <w:rPr>
                <w:b w:val="0"/>
                <w:sz w:val="20"/>
              </w:rPr>
              <w:t>None</w:t>
            </w:r>
          </w:p>
        </w:tc>
      </w:tr>
      <w:tr>
        <w:tc>
          <w:tcPr>
            <w:tcW w:type="dxa" w:w="4561"/>
          </w:tcPr>
          <w:p>
            <w:r>
              <w:rPr>
                <w:b/>
                <w:color w:val="143C6E"/>
                <w:sz w:val="20"/>
              </w:rPr>
              <w:t>Constitutional basis</w:t>
            </w:r>
          </w:p>
        </w:tc>
        <w:tc>
          <w:tcPr>
            <w:tcW w:type="dxa" w:w="4561"/>
          </w:tcPr>
          <w:p>
            <w:r>
              <w:rPr>
                <w:b w:val="0"/>
                <w:sz w:val="20"/>
              </w:rPr>
              <w:t>None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Obtain and review the actual property documents (e.g., title deed, sale agreement, inheritance certificates, consent letters) to determine the existence of co‑owners, heirs, or third‑party interests and verify that any required written consents are on file.</w:t>
            </w:r>
          </w:p>
        </w:tc>
      </w:tr>
    </w:tbl>
    <w:p/>
    <w:p>
      <w:r>
        <w:rPr>
          <w:b/>
          <w:color w:val="143C6E"/>
          <w:sz w:val="22"/>
        </w:rPr>
        <w:t>Q13. Is the possession transfer date, handover mechanism, and physical possession status explicitly documented?</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clause or information regarding possession transfer date, handover mechanism, or physical possession status.</w:t>
            </w:r>
          </w:p>
        </w:tc>
      </w:tr>
      <w:tr>
        <w:tc>
          <w:tcPr>
            <w:tcW w:type="dxa" w:w="4561"/>
          </w:tcPr>
          <w:p>
            <w:r>
              <w:rPr>
                <w:b/>
                <w:color w:val="143C6E"/>
                <w:sz w:val="20"/>
              </w:rPr>
              <w:t>Reasoning</w:t>
            </w:r>
          </w:p>
        </w:tc>
        <w:tc>
          <w:tcPr>
            <w:tcW w:type="dxa" w:w="4561"/>
          </w:tcPr>
          <w:p>
            <w:r>
              <w:rPr>
                <w:b w:val="0"/>
                <w:sz w:val="20"/>
              </w:rPr>
              <w:t>Pages 1, 3, and 5 of P2_ML.pdf were examined. The content pertains to an AI/ML internship project brief, solution overview, and submission schedule for a legal document review system. No legal transaction details, such as possession transfer dates or handover mechanisms, are mentioned.</w:t>
            </w:r>
          </w:p>
        </w:tc>
      </w:tr>
      <w:tr>
        <w:tc>
          <w:tcPr>
            <w:tcW w:type="dxa" w:w="4561"/>
          </w:tcPr>
          <w:p>
            <w:r>
              <w:rPr>
                <w:b/>
                <w:color w:val="143C6E"/>
                <w:sz w:val="20"/>
              </w:rPr>
              <w:t>Document citation</w:t>
            </w:r>
          </w:p>
        </w:tc>
        <w:tc>
          <w:tcPr>
            <w:tcW w:type="dxa" w:w="4561"/>
          </w:tcPr>
          <w:p>
            <w:r>
              <w:rPr>
                <w:b w:val="0"/>
                <w:sz w:val="20"/>
              </w:rPr>
              <w:t>P2_ML.pdf, pages 1-5</w:t>
            </w:r>
          </w:p>
        </w:tc>
      </w:tr>
      <w:tr>
        <w:tc>
          <w:tcPr>
            <w:tcW w:type="dxa" w:w="4561"/>
          </w:tcPr>
          <w:p>
            <w:r>
              <w:rPr>
                <w:b/>
                <w:color w:val="143C6E"/>
                <w:sz w:val="20"/>
              </w:rPr>
              <w:t>Statutory citation</w:t>
            </w:r>
          </w:p>
        </w:tc>
        <w:tc>
          <w:tcPr>
            <w:tcW w:type="dxa" w:w="4561"/>
          </w:tcPr>
          <w:p>
            <w:r>
              <w:rPr>
                <w:b w:val="0"/>
                <w:sz w:val="20"/>
              </w:rPr>
              <w:t>None applicable</w:t>
            </w:r>
          </w:p>
        </w:tc>
      </w:tr>
      <w:tr>
        <w:tc>
          <w:tcPr>
            <w:tcW w:type="dxa" w:w="4561"/>
          </w:tcPr>
          <w:p>
            <w:r>
              <w:rPr>
                <w:b/>
                <w:color w:val="143C6E"/>
                <w:sz w:val="20"/>
              </w:rPr>
              <w:t>Constitutional basis</w:t>
            </w:r>
          </w:p>
        </w:tc>
        <w:tc>
          <w:tcPr>
            <w:tcW w:type="dxa" w:w="4561"/>
          </w:tcPr>
          <w:p>
            <w:r>
              <w:rPr>
                <w:b w:val="0"/>
                <w:sz w:val="20"/>
              </w:rPr>
              <w:t>None applicable</w:t>
            </w:r>
          </w:p>
        </w:tc>
      </w:tr>
      <w:tr>
        <w:tc>
          <w:tcPr>
            <w:tcW w:type="dxa" w:w="4561"/>
          </w:tcPr>
          <w:p>
            <w:r>
              <w:rPr>
                <w:b/>
                <w:color w:val="143C6E"/>
                <w:sz w:val="20"/>
              </w:rPr>
              <w:t>Risk level</w:t>
            </w:r>
          </w:p>
        </w:tc>
        <w:tc>
          <w:tcPr>
            <w:tcW w:type="dxa" w:w="4561"/>
          </w:tcPr>
          <w:p>
            <w:r>
              <w:rPr>
                <w:b w:val="0"/>
                <w:color w:val="1E6E37"/>
                <w:sz w:val="20"/>
              </w:rPr>
              <w:t>LOW</w:t>
            </w:r>
          </w:p>
        </w:tc>
      </w:tr>
      <w:tr>
        <w:tc>
          <w:tcPr>
            <w:tcW w:type="dxa" w:w="4561"/>
          </w:tcPr>
          <w:p>
            <w:r>
              <w:rPr>
                <w:b/>
                <w:color w:val="143C6E"/>
                <w:sz w:val="20"/>
              </w:rPr>
              <w:t>Recommendation</w:t>
            </w:r>
          </w:p>
        </w:tc>
        <w:tc>
          <w:tcPr>
            <w:tcW w:type="dxa" w:w="4561"/>
          </w:tcPr>
          <w:p>
            <w:r>
              <w:rPr>
                <w:b w:val="0"/>
                <w:sz w:val="20"/>
              </w:rPr>
              <w:t>Request the specific property transaction documents (e.g., sale agreement, title deed, handover letter) and review them to determine the possession transfer date, handover mechanism, and physical possession status.</w:t>
            </w:r>
          </w:p>
        </w:tc>
      </w:tr>
    </w:tbl>
    <w:p/>
    <w:p>
      <w:r>
        <w:rPr>
          <w:b/>
          <w:color w:val="143C6E"/>
          <w:sz w:val="22"/>
        </w:rPr>
        <w:t>Q14. Are all conditions precedent to the transfer clearly identified and confirmed as satisfied? List any outstanding conditi</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do not contain any information regarding conditions precedent to a transfer, nor do they confirm whether such conditions have been satisfied.</w:t>
            </w:r>
          </w:p>
        </w:tc>
      </w:tr>
      <w:tr>
        <w:tc>
          <w:tcPr>
            <w:tcW w:type="dxa" w:w="4561"/>
          </w:tcPr>
          <w:p>
            <w:r>
              <w:rPr>
                <w:b/>
                <w:color w:val="143C6E"/>
                <w:sz w:val="20"/>
              </w:rPr>
              <w:t>Reasoning</w:t>
            </w:r>
          </w:p>
        </w:tc>
        <w:tc>
          <w:tcPr>
            <w:tcW w:type="dxa" w:w="4561"/>
          </w:tcPr>
          <w:p>
            <w:r>
              <w:rPr>
                <w:b w:val="0"/>
                <w:sz w:val="20"/>
              </w:rPr>
              <w:t>The context consists of an AI/ML internship problem description outlining a document‑review solution for Pakistani law firms. It includes sections on problem statement, proposed solution, cost analysis, and submission schedule, but there is no mention of any specific transaction, transfer agreement, or checklist of conditions precedent. Consequently, no determination can be made about the identification or satisfaction of such conditions.</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N/A</w:t>
            </w:r>
          </w:p>
        </w:tc>
      </w:tr>
      <w:tr>
        <w:tc>
          <w:tcPr>
            <w:tcW w:type="dxa" w:w="4561"/>
          </w:tcPr>
          <w:p>
            <w:r>
              <w:rPr>
                <w:b/>
                <w:color w:val="143C6E"/>
                <w:sz w:val="20"/>
              </w:rPr>
              <w:t>Constitutional basis</w:t>
            </w:r>
          </w:p>
        </w:tc>
        <w:tc>
          <w:tcPr>
            <w:tcW w:type="dxa" w:w="4561"/>
          </w:tcPr>
          <w:p>
            <w:r>
              <w:rPr>
                <w:b w:val="0"/>
                <w:sz w:val="20"/>
              </w:rPr>
              <w:t>N/A</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the specific transaction documents (e.g., sale deed, loan agreement, acquisition agreement) and the applicable due‑diligence checklist that enumerates all conditions precedent. Review those documents to verify each condition and flag any that remain unsatisfied.</w:t>
            </w:r>
          </w:p>
        </w:tc>
      </w:tr>
    </w:tbl>
    <w:p/>
    <w:p>
      <w:r>
        <w:rPr>
          <w:b/>
          <w:color w:val="143C6E"/>
          <w:sz w:val="22"/>
        </w:rPr>
        <w:t>Q15. Is there a registered mutation (Intiqal) on record from LRMIS? Is the Fard-e-Malkiat consistent with the Registry? Is th</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Finding</w:t>
            </w:r>
          </w:p>
        </w:tc>
        <w:tc>
          <w:tcPr>
            <w:tcW w:type="dxa" w:w="4561"/>
          </w:tcPr>
          <w:p>
            <w:r>
              <w:rPr>
                <w:b w:val="0"/>
                <w:sz w:val="20"/>
              </w:rPr>
              <w:t>The provided documents contain no information regarding a registered mutation (Intiqal) from LRMIS, the consistency of the Fard‑e‑Malkiat with the Registry, or the legal validity of the transfer mode under Pakistani land‑revenue law.</w:t>
            </w:r>
          </w:p>
        </w:tc>
      </w:tr>
      <w:tr>
        <w:tc>
          <w:tcPr>
            <w:tcW w:type="dxa" w:w="4561"/>
          </w:tcPr>
          <w:p>
            <w:r>
              <w:rPr>
                <w:b/>
                <w:color w:val="143C6E"/>
                <w:sz w:val="20"/>
              </w:rPr>
              <w:t>Reasoning</w:t>
            </w:r>
          </w:p>
        </w:tc>
        <w:tc>
          <w:tcPr>
            <w:tcW w:type="dxa" w:w="4561"/>
          </w:tcPr>
          <w:p>
            <w:r>
              <w:rPr>
                <w:b w:val="0"/>
                <w:sz w:val="20"/>
              </w:rPr>
              <w:t>A thorough review of the supplied pages (2, 3, 5 of P2_ML.pdf) shows only details about an AI/ML internship problem statement, proposed solution, and submission schedule for a document‑review tool. No references to land‑record systems (LRMIS), mutation certificates, Fard‑e‑Malkiat, or land‑revenue statutory provisions are present. Consequently, the required factual data cannot be extracted from the given context.</w:t>
            </w:r>
          </w:p>
        </w:tc>
      </w:tr>
      <w:tr>
        <w:tc>
          <w:tcPr>
            <w:tcW w:type="dxa" w:w="4561"/>
          </w:tcPr>
          <w:p>
            <w:r>
              <w:rPr>
                <w:b/>
                <w:color w:val="143C6E"/>
                <w:sz w:val="20"/>
              </w:rPr>
              <w:t>Document citation</w:t>
            </w:r>
          </w:p>
        </w:tc>
        <w:tc>
          <w:tcPr>
            <w:tcW w:type="dxa" w:w="4561"/>
          </w:tcPr>
          <w:p>
            <w:r>
              <w:rPr>
                <w:b w:val="0"/>
                <w:sz w:val="20"/>
              </w:rPr>
              <w:t>N/A</w:t>
            </w:r>
          </w:p>
        </w:tc>
      </w:tr>
      <w:tr>
        <w:tc>
          <w:tcPr>
            <w:tcW w:type="dxa" w:w="4561"/>
          </w:tcPr>
          <w:p>
            <w:r>
              <w:rPr>
                <w:b/>
                <w:color w:val="143C6E"/>
                <w:sz w:val="20"/>
              </w:rPr>
              <w:t>Statutory citation</w:t>
            </w:r>
          </w:p>
        </w:tc>
        <w:tc>
          <w:tcPr>
            <w:tcW w:type="dxa" w:w="4561"/>
          </w:tcPr>
          <w:p>
            <w:r>
              <w:rPr>
                <w:b w:val="0"/>
                <w:sz w:val="20"/>
              </w:rPr>
              <w:t>Land Revenue Act, 1967, Sections relating to mutation (e.g., Sec. 5) and registration of transfer (e.g., Sec. 12)</w:t>
            </w:r>
          </w:p>
        </w:tc>
      </w:tr>
      <w:tr>
        <w:tc>
          <w:tcPr>
            <w:tcW w:type="dxa" w:w="4561"/>
          </w:tcPr>
          <w:p>
            <w:r>
              <w:rPr>
                <w:b/>
                <w:color w:val="143C6E"/>
                <w:sz w:val="20"/>
              </w:rPr>
              <w:t>Constitutional basis</w:t>
            </w:r>
          </w:p>
        </w:tc>
        <w:tc>
          <w:tcPr>
            <w:tcW w:type="dxa" w:w="4561"/>
          </w:tcPr>
          <w:p>
            <w:r>
              <w:rPr>
                <w:b w:val="0"/>
                <w:sz w:val="20"/>
              </w:rPr>
              <w:t>Article 23 of the Constitution of Pakistan (right to acquire, hold and dispose of property)</w:t>
            </w:r>
          </w:p>
        </w:tc>
      </w:tr>
      <w:tr>
        <w:tc>
          <w:tcPr>
            <w:tcW w:type="dxa" w:w="4561"/>
          </w:tcPr>
          <w:p>
            <w:r>
              <w:rPr>
                <w:b/>
                <w:color w:val="143C6E"/>
                <w:sz w:val="20"/>
              </w:rPr>
              <w:t>Risk level</w:t>
            </w:r>
          </w:p>
        </w:tc>
        <w:tc>
          <w:tcPr>
            <w:tcW w:type="dxa" w:w="4561"/>
          </w:tcPr>
          <w:p>
            <w:r>
              <w:rPr>
                <w:b w:val="0"/>
                <w:color w:val="AA2323"/>
                <w:sz w:val="20"/>
              </w:rPr>
              <w:t>HIGH</w:t>
            </w:r>
          </w:p>
        </w:tc>
      </w:tr>
      <w:tr>
        <w:tc>
          <w:tcPr>
            <w:tcW w:type="dxa" w:w="4561"/>
          </w:tcPr>
          <w:p>
            <w:r>
              <w:rPr>
                <w:b/>
                <w:color w:val="143C6E"/>
                <w:sz w:val="20"/>
              </w:rPr>
              <w:t>Recommendation</w:t>
            </w:r>
          </w:p>
        </w:tc>
        <w:tc>
          <w:tcPr>
            <w:tcW w:type="dxa" w:w="4561"/>
          </w:tcPr>
          <w:p>
            <w:r>
              <w:rPr>
                <w:b w:val="0"/>
                <w:sz w:val="20"/>
              </w:rPr>
              <w:t>Obtain the official mutation (Intiqal) certificate from the LRMIS, procure a certified copy of the Fard‑e‑Malkiat, and compare both against the land‑registry records. Verify that the mode of transfer complies with the Land Revenue Act, 1967 and the Registration Act, 1908 (e.g., proper execution, registration, and stamping). Only after these documents are reviewed can the legality of the transfer be confirmed.</w:t>
            </w:r>
          </w:p>
        </w:tc>
      </w:tr>
    </w:tbl>
    <w:p/>
    <w:p>
      <w:pPr>
        <w:spacing w:before="160" w:after="80"/>
      </w:pPr>
      <w:r>
        <w:rPr>
          <w:b/>
          <w:color w:val="143C6E"/>
          <w:sz w:val="26"/>
        </w:rPr>
        <w:t>5. FBR &amp; AML Compliance Assessment</w:t>
      </w:r>
    </w:p>
    <w:tbl>
      <w:tblPr>
        <w:tblStyle w:val="TableGrid"/>
        <w:tblW w:type="auto" w:w="0"/>
        <w:tblLook w:firstColumn="1" w:firstRow="1" w:lastColumn="0" w:lastRow="0" w:noHBand="0" w:noVBand="1" w:val="04A0"/>
      </w:tblPr>
      <w:tblGrid>
        <w:gridCol w:w="4561"/>
        <w:gridCol w:w="4561"/>
      </w:tblGrid>
      <w:tr>
        <w:tc>
          <w:tcPr>
            <w:tcW w:type="dxa" w:w="4561"/>
          </w:tcPr>
          <w:p>
            <w:r>
              <w:rPr>
                <w:b/>
                <w:color w:val="143C6E"/>
                <w:sz w:val="20"/>
              </w:rPr>
              <w:t>Detected transaction value</w:t>
            </w:r>
          </w:p>
        </w:tc>
        <w:tc>
          <w:tcPr>
            <w:tcW w:type="dxa" w:w="4561"/>
          </w:tcPr>
          <w:p>
            <w:r>
              <w:rPr>
                <w:b w:val="0"/>
                <w:sz w:val="20"/>
              </w:rPr>
              <w:t>PKR 500,000</w:t>
            </w:r>
          </w:p>
        </w:tc>
      </w:tr>
      <w:tr>
        <w:tc>
          <w:tcPr>
            <w:tcW w:type="dxa" w:w="4561"/>
          </w:tcPr>
          <w:p>
            <w:r>
              <w:rPr>
                <w:b/>
                <w:color w:val="143C6E"/>
                <w:sz w:val="20"/>
              </w:rPr>
              <w:t>FBR withholding tax applicable</w:t>
              <w:br/>
              <w:t>(Section 236C/236K — above PKR 5M)</w:t>
            </w:r>
          </w:p>
        </w:tc>
        <w:tc>
          <w:tcPr>
            <w:tcW w:type="dxa" w:w="4561"/>
          </w:tcPr>
          <w:p>
            <w:r>
              <w:rPr>
                <w:b w:val="0"/>
                <w:sz w:val="20"/>
              </w:rPr>
              <w:t>No — Below PKR 5,000,000 threshold</w:t>
            </w:r>
          </w:p>
        </w:tc>
      </w:tr>
      <w:tr>
        <w:tc>
          <w:tcPr>
            <w:tcW w:type="dxa" w:w="4561"/>
          </w:tcPr>
          <w:p>
            <w:r>
              <w:rPr>
                <w:b/>
                <w:color w:val="143C6E"/>
                <w:sz w:val="20"/>
              </w:rPr>
              <w:t>Enhanced AML due diligence required</w:t>
              <w:br/>
              <w:t>(AML Act 2010 — above PKR 10M)</w:t>
            </w:r>
          </w:p>
        </w:tc>
        <w:tc>
          <w:tcPr>
            <w:tcW w:type="dxa" w:w="4561"/>
          </w:tcPr>
          <w:p>
            <w:r>
              <w:rPr>
                <w:b w:val="0"/>
                <w:sz w:val="20"/>
              </w:rPr>
              <w:t>No — Below PKR 10,000,000 threshold</w:t>
            </w:r>
          </w:p>
        </w:tc>
      </w:tr>
      <w:tr>
        <w:tc>
          <w:tcPr>
            <w:tcW w:type="dxa" w:w="4561"/>
          </w:tcPr>
          <w:p>
            <w:r>
              <w:rPr>
                <w:b/>
                <w:color w:val="143C6E"/>
                <w:sz w:val="20"/>
              </w:rPr>
              <w:t>AML risk indicators detected</w:t>
            </w:r>
          </w:p>
        </w:tc>
        <w:tc>
          <w:tcPr>
            <w:tcW w:type="dxa" w:w="4561"/>
          </w:tcPr>
          <w:p>
            <w:r>
              <w:rPr>
                <w:b w:val="0"/>
                <w:sz w:val="20"/>
              </w:rPr>
              <w:t>None detected</w:t>
            </w:r>
          </w:p>
        </w:tc>
      </w:tr>
      <w:tr>
        <w:tc>
          <w:tcPr>
            <w:tcW w:type="dxa" w:w="4561"/>
          </w:tcPr>
          <w:p>
            <w:r>
              <w:rPr>
                <w:b/>
                <w:color w:val="143C6E"/>
                <w:sz w:val="20"/>
              </w:rPr>
              <w:t>Urdu content detected in documents</w:t>
            </w:r>
          </w:p>
        </w:tc>
        <w:tc>
          <w:tcPr>
            <w:tcW w:type="dxa" w:w="4561"/>
          </w:tcPr>
          <w:p>
            <w:r>
              <w:rPr>
                <w:b w:val="0"/>
                <w:sz w:val="20"/>
              </w:rPr>
              <w:t>No — English-only document</w:t>
            </w:r>
          </w:p>
        </w:tc>
      </w:tr>
      <w:tr>
        <w:tc>
          <w:tcPr>
            <w:tcW w:type="dxa" w:w="4561"/>
          </w:tcPr>
          <w:p>
            <w:r>
              <w:rPr>
                <w:b/>
                <w:color w:val="143C6E"/>
                <w:sz w:val="20"/>
              </w:rPr>
              <w:t>OCR applied to scanned pages</w:t>
            </w:r>
          </w:p>
        </w:tc>
        <w:tc>
          <w:tcPr>
            <w:tcW w:type="dxa" w:w="4561"/>
          </w:tcPr>
          <w:p>
            <w:r>
              <w:rPr>
                <w:b w:val="0"/>
                <w:sz w:val="20"/>
              </w:rPr>
              <w:t>No — All pages are text-based</w:t>
            </w:r>
          </w:p>
        </w:tc>
      </w:tr>
    </w:tbl>
    <w:p/>
    <w:p>
      <w:pPr>
        <w:spacing w:before="160" w:after="80"/>
      </w:pPr>
      <w:r>
        <w:rPr>
          <w:b/>
          <w:color w:val="143C6E"/>
          <w:sz w:val="26"/>
        </w:rPr>
        <w:t>6. Missing Documents</w:t>
      </w:r>
    </w:p>
    <w:p>
      <w:pPr>
        <w:pStyle w:val="ListBullet"/>
      </w:pPr>
      <w:r>
        <w:rPr>
          <w:color w:val="AA2323"/>
        </w:rPr>
        <w:t>LDA No‑Objection Certificate</w:t>
      </w:r>
    </w:p>
    <w:p>
      <w:pPr>
        <w:pStyle w:val="ListBullet"/>
      </w:pPr>
      <w:r>
        <w:rPr>
          <w:color w:val="AA2323"/>
        </w:rPr>
        <w:t>Title deed</w:t>
      </w:r>
    </w:p>
    <w:p>
      <w:pPr>
        <w:pStyle w:val="ListBullet"/>
      </w:pPr>
      <w:r>
        <w:rPr>
          <w:color w:val="AA2323"/>
        </w:rPr>
        <w:t>Capital Value Tax clearance</w:t>
      </w:r>
    </w:p>
    <w:p>
      <w:pPr>
        <w:pStyle w:val="ListBullet"/>
      </w:pPr>
      <w:r>
        <w:rPr>
          <w:color w:val="AA2323"/>
        </w:rPr>
        <w:t>Zoning plan</w:t>
      </w:r>
    </w:p>
    <w:p>
      <w:pPr>
        <w:pStyle w:val="ListBullet"/>
      </w:pPr>
      <w:r>
        <w:rPr>
          <w:color w:val="AA2323"/>
        </w:rPr>
        <w:t>Payment receipts</w:t>
      </w:r>
    </w:p>
    <w:p>
      <w:pPr>
        <w:pStyle w:val="ListBullet"/>
      </w:pPr>
      <w:r>
        <w:rPr>
          <w:color w:val="AA2323"/>
        </w:rPr>
        <w:t>Withholding tax clearance (Sections 236C/236K)</w:t>
      </w:r>
    </w:p>
    <w:p>
      <w:pPr>
        <w:pStyle w:val="ListBullet"/>
      </w:pPr>
      <w:r>
        <w:rPr>
          <w:color w:val="AA2323"/>
        </w:rPr>
        <w:t>Mortgage deed(s) or charge documents</w:t>
      </w:r>
    </w:p>
    <w:p>
      <w:pPr>
        <w:pStyle w:val="ListBullet"/>
      </w:pPr>
      <w:r>
        <w:rPr>
          <w:color w:val="AA2323"/>
        </w:rPr>
        <w:t>Written consent letters from co‑owners/heirs/third parties</w:t>
      </w:r>
    </w:p>
    <w:p>
      <w:pPr>
        <w:pStyle w:val="ListBullet"/>
      </w:pPr>
      <w:r>
        <w:rPr>
          <w:color w:val="AA2323"/>
        </w:rPr>
        <w:t>Handover/possession letter</w:t>
      </w:r>
    </w:p>
    <w:p>
      <w:pPr>
        <w:pStyle w:val="ListBullet"/>
      </w:pPr>
      <w:r>
        <w:rPr>
          <w:color w:val="AA2323"/>
        </w:rPr>
        <w:t>Bank statements/evidence</w:t>
      </w:r>
    </w:p>
    <w:p>
      <w:pPr>
        <w:pStyle w:val="ListBullet"/>
      </w:pPr>
      <w:r>
        <w:rPr>
          <w:color w:val="AA2323"/>
        </w:rPr>
        <w:t>TMA No‑Objection Certificate</w:t>
      </w:r>
    </w:p>
    <w:p>
      <w:pPr>
        <w:pStyle w:val="ListBullet"/>
      </w:pPr>
      <w:r>
        <w:rPr>
          <w:color w:val="AA2323"/>
        </w:rPr>
        <w:t>Court orders or settlement agreements affecting the property</w:t>
      </w:r>
    </w:p>
    <w:p>
      <w:pPr>
        <w:pStyle w:val="ListBullet"/>
      </w:pPr>
      <w:r>
        <w:rPr>
          <w:color w:val="AA2323"/>
        </w:rPr>
        <w:t>Bank charge or lien statements</w:t>
      </w:r>
    </w:p>
    <w:p>
      <w:pPr>
        <w:pStyle w:val="ListBullet"/>
      </w:pPr>
      <w:r>
        <w:rPr>
          <w:color w:val="AA2323"/>
        </w:rPr>
        <w:t>RDA No‑Objection Certificate</w:t>
      </w:r>
    </w:p>
    <w:p>
      <w:pPr>
        <w:pStyle w:val="ListBullet"/>
      </w:pPr>
      <w:r>
        <w:rPr>
          <w:color w:val="AA2323"/>
        </w:rPr>
        <w:t>Pay orders</w:t>
      </w:r>
    </w:p>
    <w:p>
      <w:pPr>
        <w:pStyle w:val="ListBullet"/>
      </w:pPr>
      <w:r>
        <w:rPr>
          <w:color w:val="AA2323"/>
        </w:rPr>
        <w:t>Title deed / deed of assignment</w:t>
      </w:r>
    </w:p>
    <w:p>
      <w:pPr>
        <w:pStyle w:val="ListBullet"/>
      </w:pPr>
      <w:r>
        <w:rPr>
          <w:color w:val="AA2323"/>
        </w:rPr>
        <w:t>Sale or transfer agreement</w:t>
      </w:r>
    </w:p>
    <w:p>
      <w:pPr>
        <w:pStyle w:val="ListBullet"/>
      </w:pPr>
      <w:r>
        <w:rPr>
          <w:color w:val="AA2323"/>
        </w:rPr>
        <w:t>LRMIS mutation (Intiqal) certificate</w:t>
      </w:r>
    </w:p>
    <w:p>
      <w:pPr>
        <w:pStyle w:val="ListBullet"/>
      </w:pPr>
      <w:r>
        <w:rPr>
          <w:color w:val="AA2323"/>
        </w:rPr>
        <w:t>Due‑diligence checklist of conditions precedent</w:t>
      </w:r>
    </w:p>
    <w:p>
      <w:pPr>
        <w:pStyle w:val="ListBullet"/>
      </w:pPr>
      <w:r>
        <w:rPr>
          <w:color w:val="AA2323"/>
        </w:rPr>
        <w:t>Encumbrance certificate</w:t>
      </w:r>
    </w:p>
    <w:p>
      <w:pPr>
        <w:pStyle w:val="ListBullet"/>
      </w:pPr>
      <w:r>
        <w:rPr>
          <w:color w:val="AA2323"/>
        </w:rPr>
        <w:t>Title deed or registered land record</w:t>
      </w:r>
    </w:p>
    <w:p>
      <w:pPr>
        <w:pStyle w:val="ListBullet"/>
      </w:pPr>
      <w:r>
        <w:rPr>
          <w:color w:val="AA2323"/>
        </w:rPr>
        <w:t>Court order / caveat search certificate</w:t>
      </w:r>
    </w:p>
    <w:p>
      <w:pPr>
        <w:pStyle w:val="ListBullet"/>
      </w:pPr>
      <w:r>
        <w:rPr>
          <w:color w:val="AA2323"/>
        </w:rPr>
        <w:t>Khasra extract</w:t>
      </w:r>
    </w:p>
    <w:p>
      <w:pPr>
        <w:pStyle w:val="ListBullet"/>
      </w:pPr>
      <w:r>
        <w:rPr>
          <w:color w:val="AA2323"/>
        </w:rPr>
        <w:t>Stamp duty clearance certificate</w:t>
      </w:r>
    </w:p>
    <w:p>
      <w:pPr>
        <w:pStyle w:val="ListBullet"/>
      </w:pPr>
      <w:r>
        <w:rPr>
          <w:color w:val="AA2323"/>
        </w:rPr>
        <w:t>Litigation search report</w:t>
      </w:r>
    </w:p>
    <w:p>
      <w:pPr>
        <w:pStyle w:val="ListBullet"/>
      </w:pPr>
      <w:r>
        <w:rPr>
          <w:color w:val="AA2323"/>
        </w:rPr>
        <w:t>Utility bills</w:t>
      </w:r>
    </w:p>
    <w:p>
      <w:pPr>
        <w:pStyle w:val="ListBullet"/>
      </w:pPr>
      <w:r>
        <w:rPr>
          <w:color w:val="AA2323"/>
        </w:rPr>
        <w:t>Property tax clearance certificate</w:t>
      </w:r>
    </w:p>
    <w:p>
      <w:pPr>
        <w:pStyle w:val="ListBullet"/>
      </w:pPr>
      <w:r>
        <w:rPr>
          <w:color w:val="AA2323"/>
        </w:rPr>
        <w:t>Area measurement statement</w:t>
      </w:r>
    </w:p>
    <w:p>
      <w:pPr>
        <w:pStyle w:val="ListBullet"/>
      </w:pPr>
      <w:r>
        <w:rPr>
          <w:color w:val="AA2323"/>
        </w:rPr>
        <w:t>CDA No‑Objection Certificate</w:t>
      </w:r>
    </w:p>
    <w:p>
      <w:pPr>
        <w:pStyle w:val="ListBullet"/>
      </w:pPr>
      <w:r>
        <w:rPr>
          <w:color w:val="AA2323"/>
        </w:rPr>
        <w:t>Original signed and notarized documents for review</w:t>
      </w:r>
    </w:p>
    <w:p>
      <w:pPr>
        <w:pStyle w:val="ListBullet"/>
      </w:pPr>
      <w:r>
        <w:rPr>
          <w:color w:val="AA2323"/>
        </w:rPr>
        <w:t>Registration certificate / land record extract</w:t>
      </w:r>
    </w:p>
    <w:p>
      <w:pPr>
        <w:pStyle w:val="ListBullet"/>
      </w:pPr>
      <w:r>
        <w:rPr>
          <w:color w:val="AA2323"/>
        </w:rPr>
        <w:t>Land use certificate</w:t>
      </w:r>
    </w:p>
    <w:p>
      <w:pPr>
        <w:pStyle w:val="ListBullet"/>
      </w:pPr>
      <w:r>
        <w:rPr>
          <w:color w:val="AA2323"/>
        </w:rPr>
        <w:t>Utility connection certificates for electricity, gas, water, and PTCL</w:t>
      </w:r>
    </w:p>
    <w:p>
      <w:pPr>
        <w:pStyle w:val="ListBullet"/>
      </w:pPr>
      <w:r>
        <w:rPr>
          <w:color w:val="AA2323"/>
        </w:rPr>
        <w:t>Transfer deed/agreement and related registration documents</w:t>
      </w:r>
    </w:p>
    <w:p>
      <w:pPr>
        <w:pStyle w:val="ListBullet"/>
      </w:pPr>
      <w:r>
        <w:rPr>
          <w:color w:val="AA2323"/>
        </w:rPr>
        <w:t>Inheritance or succession certificates</w:t>
      </w:r>
    </w:p>
    <w:p>
      <w:pPr>
        <w:pStyle w:val="ListBullet"/>
      </w:pPr>
      <w:r>
        <w:rPr>
          <w:color w:val="AA2323"/>
        </w:rPr>
        <w:t>Khata certificate</w:t>
      </w:r>
    </w:p>
    <w:p>
      <w:pPr>
        <w:pStyle w:val="ListBullet"/>
      </w:pPr>
      <w:r>
        <w:rPr>
          <w:color w:val="AA2323"/>
        </w:rPr>
        <w:t>No Objection Certificate (NOC)</w:t>
      </w:r>
    </w:p>
    <w:p>
      <w:pPr>
        <w:pStyle w:val="ListBullet"/>
      </w:pPr>
      <w:r>
        <w:rPr>
          <w:color w:val="AA2323"/>
        </w:rPr>
        <w:t>Sale agreement</w:t>
      </w:r>
    </w:p>
    <w:p>
      <w:pPr>
        <w:pStyle w:val="ListBullet"/>
      </w:pPr>
      <w:r>
        <w:rPr>
          <w:color w:val="AA2323"/>
        </w:rPr>
        <w:t>Certified copy of the Fard‑e‑Malkiat</w:t>
      </w:r>
    </w:p>
    <w:p>
      <w:pPr>
        <w:pStyle w:val="ListBullet"/>
      </w:pPr>
      <w:r>
        <w:rPr>
          <w:color w:val="AA2323"/>
        </w:rPr>
        <w:t>Sale deed</w:t>
      </w:r>
    </w:p>
    <w:p>
      <w:pPr>
        <w:pStyle w:val="ListBullet"/>
      </w:pPr>
      <w:r>
        <w:rPr>
          <w:color w:val="AA2323"/>
        </w:rPr>
        <w:t>Correspondence confirming satisfaction of each condition</w:t>
      </w:r>
    </w:p>
    <w:p>
      <w:pPr>
        <w:pStyle w:val="ListBullet"/>
      </w:pPr>
      <w:r>
        <w:rPr>
          <w:color w:val="AA2323"/>
        </w:rPr>
        <w:t>Other local authority NOCs as applicable</w:t>
      </w:r>
    </w:p>
    <w:p>
      <w:pPr>
        <w:pStyle w:val="ListBullet"/>
      </w:pPr>
      <w:r>
        <w:rPr>
          <w:color w:val="AA2323"/>
        </w:rPr>
        <w:t>Latest utility bills or clearance letters confirming no outstanding dues</w:t>
      </w:r>
    </w:p>
    <w:p>
      <w:pPr>
        <w:pStyle w:val="ListBullet"/>
      </w:pPr>
      <w:r>
        <w:rPr>
          <w:color w:val="AA2323"/>
        </w:rPr>
        <w:t>Transfer agreement or deed</w:t>
      </w:r>
    </w:p>
    <w:p>
      <w:pPr>
        <w:pStyle w:val="ListBullet"/>
      </w:pPr>
      <w:r>
        <w:rPr>
          <w:color w:val="AA2323"/>
        </w:rPr>
        <w:t>Survey map</w:t>
      </w:r>
    </w:p>
    <w:p/>
    <w:p>
      <w:pPr>
        <w:spacing w:before="160" w:after="80"/>
      </w:pPr>
      <w:r>
        <w:rPr>
          <w:b/>
          <w:color w:val="143C6E"/>
          <w:sz w:val="26"/>
        </w:rPr>
        <w:t>7. Disclaimer</w:t>
      </w:r>
    </w:p>
    <w:p>
      <w:r>
        <w:rPr>
          <w:color w:val="0070A4"/>
          <w:sz w:val="18"/>
        </w:rPr>
        <w:t>This memorandum has been generated with the assistance of an AI-powered legal review system and must be reviewed, verified, and approved by a qualified Pakistani advocate before being relied upon. It does not constitute legal advice. All findings should be independently verified against original documents.</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color w:val="0070A4"/>
        <w:sz w:val="18"/>
      </w:rPr>
      <w:t>Josh and Mak International — Legal Due Diligence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