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WPadro"/>
        <w:tabs>
          <w:tab w:val="clear" w:pos="708"/>
          <w:tab w:val="left" w:pos="6140" w:leader="none"/>
        </w:tabs>
        <w:spacing w:lineRule="auto" w:line="240" w:before="0" w:after="0"/>
        <w:jc w:val="center"/>
        <w:rPr/>
      </w:pPr>
      <w:r>
        <w:rPr/>
        <w:drawing>
          <wp:inline distT="0" distB="0" distL="0" distR="0">
            <wp:extent cx="792480" cy="822960"/>
            <wp:effectExtent l="0" t="0" r="0" b="0"/>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792480" cy="822960"/>
                    </a:xfrm>
                    <a:prstGeom prst="rect">
                      <a:avLst/>
                    </a:prstGeom>
                  </pic:spPr>
                </pic:pic>
              </a:graphicData>
            </a:graphic>
          </wp:inline>
        </w:drawing>
      </w:r>
    </w:p>
    <w:p>
      <w:pPr>
        <w:pStyle w:val="Normal"/>
        <w:tabs>
          <w:tab w:val="clear" w:pos="708"/>
          <w:tab w:val="left" w:pos="3723" w:leader="none"/>
        </w:tabs>
        <w:jc w:val="center"/>
        <w:rPr>
          <w:rFonts w:cs="Arial"/>
          <w:b/>
          <w:b/>
          <w:color w:val="000000"/>
          <w:szCs w:val="20"/>
        </w:rPr>
      </w:pPr>
      <w:r>
        <w:rPr>
          <w:rFonts w:cs="Arial"/>
          <w:b/>
          <w:color w:val="000000"/>
          <w:szCs w:val="20"/>
        </w:rPr>
        <w:t>MINISTÉRIO DA DEFESA</w:t>
      </w:r>
    </w:p>
    <w:p>
      <w:pPr>
        <w:pStyle w:val="Normal"/>
        <w:tabs>
          <w:tab w:val="clear" w:pos="708"/>
          <w:tab w:val="left" w:pos="3723" w:leader="none"/>
        </w:tabs>
        <w:jc w:val="center"/>
        <w:rPr>
          <w:rFonts w:cs="Arial"/>
          <w:b/>
          <w:b/>
          <w:color w:val="000000"/>
          <w:szCs w:val="20"/>
        </w:rPr>
      </w:pPr>
      <w:r>
        <w:rPr>
          <w:rFonts w:cs="Arial"/>
          <w:b/>
          <w:color w:val="000000"/>
          <w:szCs w:val="20"/>
        </w:rPr>
        <w:t>EXÉRCITO BRASILEIRO</w:t>
      </w:r>
    </w:p>
    <w:p>
      <w:pPr>
        <w:pStyle w:val="Normal"/>
        <w:tabs>
          <w:tab w:val="clear" w:pos="708"/>
          <w:tab w:val="left" w:pos="3723" w:leader="none"/>
        </w:tabs>
        <w:jc w:val="center"/>
        <w:rPr>
          <w:rFonts w:cs="Arial"/>
          <w:b/>
          <w:b/>
          <w:color w:val="000000"/>
          <w:szCs w:val="20"/>
        </w:rPr>
      </w:pPr>
      <w:r>
        <w:rPr>
          <w:rFonts w:cs="Arial"/>
          <w:b/>
          <w:color w:val="000000"/>
          <w:szCs w:val="20"/>
        </w:rPr>
        <w:t xml:space="preserve">ARSENAL DE GUERRA DE SÃO PAULO </w:t>
      </w:r>
    </w:p>
    <w:p>
      <w:pPr>
        <w:pStyle w:val="Normal"/>
        <w:rPr>
          <w:rFonts w:cs="Arial"/>
          <w:szCs w:val="20"/>
        </w:rPr>
      </w:pPr>
      <w:r>
        <w:rPr>
          <w:rFonts w:cs="Arial"/>
          <w:szCs w:val="20"/>
        </w:rPr>
      </w:r>
    </w:p>
    <w:p>
      <w:pPr>
        <w:pStyle w:val="Normal"/>
        <w:rPr>
          <w:rFonts w:eastAsia="SimSun" w:cs="Arial"/>
          <w:szCs w:val="20"/>
        </w:rPr>
      </w:pPr>
      <w:r>
        <w:rPr>
          <w:rFonts w:eastAsia="SimSun" w:cs="Arial"/>
          <w:szCs w:val="20"/>
        </w:rPr>
      </w:r>
    </w:p>
    <w:p>
      <w:pPr>
        <w:pStyle w:val="Normal"/>
        <w:jc w:val="center"/>
        <w:rPr>
          <w:rFonts w:cs="Arial"/>
          <w:b/>
          <w:b/>
          <w:bCs/>
          <w:color w:val="000000"/>
          <w:szCs w:val="20"/>
        </w:rPr>
      </w:pPr>
      <w:r>
        <w:rPr>
          <w:rFonts w:cs="Arial"/>
          <w:b/>
          <w:bCs/>
          <w:color w:val="000000"/>
          <w:szCs w:val="20"/>
        </w:rPr>
        <w:t>TERMO DE REFERÊNCIA</w:t>
      </w:r>
    </w:p>
    <w:p>
      <w:pPr>
        <w:pStyle w:val="Normal"/>
        <w:jc w:val="center"/>
        <w:rPr>
          <w:rFonts w:cs="Arial"/>
          <w:b/>
          <w:b/>
          <w:bCs/>
          <w:color w:val="000000"/>
          <w:szCs w:val="20"/>
        </w:rPr>
      </w:pPr>
      <w:r>
        <w:rPr>
          <w:rFonts w:cs="Arial"/>
          <w:b/>
          <w:bCs/>
          <w:color w:val="000000"/>
          <w:szCs w:val="20"/>
        </w:rPr>
        <w:t xml:space="preserve">PREGÃO ELETRÔNICO </w:t>
      </w:r>
    </w:p>
    <w:p>
      <w:pPr>
        <w:pStyle w:val="Normal"/>
        <w:jc w:val="center"/>
        <w:rPr>
          <w:rFonts w:cs="Arial"/>
          <w:b/>
          <w:b/>
          <w:bCs/>
          <w:iCs/>
          <w:color w:val="000000"/>
          <w:szCs w:val="20"/>
        </w:rPr>
      </w:pPr>
      <w:r>
        <w:rPr>
          <w:rFonts w:cs="Arial"/>
          <w:b/>
          <w:bCs/>
          <w:iCs/>
          <w:color w:val="000000"/>
          <w:szCs w:val="20"/>
        </w:rPr>
        <w:t>(COMPRAS)</w:t>
      </w:r>
    </w:p>
    <w:p>
      <w:pPr>
        <w:pStyle w:val="Normal"/>
        <w:widowControl w:val="false"/>
        <w:spacing w:before="0" w:after="0"/>
        <w:jc w:val="center"/>
        <w:rPr>
          <w:rFonts w:ascii="Arial" w:hAnsi="Arial" w:eastAsia="Times New Roman" w:cs="Arial"/>
          <w:b/>
          <w:b/>
          <w:bCs/>
          <w:sz w:val="20"/>
          <w:szCs w:val="20"/>
          <w:lang w:eastAsia="pt-BR"/>
        </w:rPr>
      </w:pPr>
      <w:r>
        <w:rPr>
          <w:rFonts w:eastAsia="Times New Roman" w:cs="Arial"/>
          <w:b/>
          <w:bCs/>
          <w:iCs/>
          <w:color w:val="000000"/>
          <w:sz w:val="20"/>
          <w:szCs w:val="20"/>
          <w:lang w:eastAsia="pt-BR"/>
        </w:rPr>
        <w:t>PREGÃO ELETRÔNICO Nº ___/2021</w:t>
      </w:r>
    </w:p>
    <w:p>
      <w:pPr>
        <w:pStyle w:val="Normal"/>
        <w:spacing w:lineRule="auto" w:line="276"/>
        <w:jc w:val="center"/>
        <w:rPr>
          <w:shd w:fill="auto" w:val="clear"/>
        </w:rPr>
      </w:pPr>
      <w:r>
        <w:rPr>
          <w:rFonts w:cs="Arial"/>
          <w:b/>
          <w:bCs/>
          <w:color w:val="000000"/>
          <w:szCs w:val="20"/>
          <w:shd w:fill="auto" w:val="clear"/>
        </w:rPr>
        <w:t>(Processo Administrativo n.° 64005.009347/2021-93)</w:t>
      </w:r>
    </w:p>
    <w:p>
      <w:pPr>
        <w:pStyle w:val="Nivel1"/>
        <w:numPr>
          <w:ilvl w:val="0"/>
          <w:numId w:val="1"/>
        </w:numPr>
        <w:rPr>
          <w:shd w:fill="auto" w:val="clear"/>
        </w:rPr>
      </w:pPr>
      <w:r>
        <w:rPr/>
        <w:t>DO OBJETO</w:t>
      </w:r>
    </w:p>
    <w:p>
      <w:pPr>
        <w:pStyle w:val="Normal"/>
        <w:numPr>
          <w:ilvl w:val="1"/>
          <w:numId w:val="1"/>
        </w:numPr>
        <w:spacing w:lineRule="auto" w:line="276" w:before="120" w:after="120"/>
        <w:ind w:left="425" w:hanging="0"/>
        <w:jc w:val="both"/>
        <w:rPr/>
      </w:pPr>
      <w:r>
        <w:rPr>
          <w:rFonts w:cs="Arial"/>
          <w:i w:val="false"/>
          <w:iCs w:val="false"/>
          <w:color w:val="000000"/>
          <w:szCs w:val="20"/>
          <w:shd w:fill="auto" w:val="clear"/>
        </w:rPr>
        <w:t>Aquisição de cabine de pintura eletrostática com aplicador manual</w:t>
      </w:r>
      <w:r>
        <w:rPr>
          <w:rFonts w:cs="Arial"/>
          <w:i/>
          <w:iCs/>
          <w:color w:val="000000"/>
          <w:szCs w:val="20"/>
          <w:shd w:fill="auto" w:val="clear"/>
        </w:rPr>
        <w:t xml:space="preserve">, </w:t>
      </w:r>
      <w:r>
        <w:rPr>
          <w:rFonts w:cs="Arial"/>
          <w:b w:val="false"/>
          <w:bCs w:val="false"/>
          <w:i w:val="false"/>
          <w:iCs w:val="false"/>
          <w:color w:val="000000"/>
          <w:szCs w:val="20"/>
          <w:shd w:fill="auto" w:val="clear"/>
        </w:rPr>
        <w:t>conforme condições, quantidades e exigências estabelecidas neste instrumento:</w:t>
      </w:r>
    </w:p>
    <w:tbl>
      <w:tblPr>
        <w:tblW w:w="9465" w:type="dxa"/>
        <w:jc w:val="left"/>
        <w:tblInd w:w="-402" w:type="dxa"/>
        <w:tblLayout w:type="fixed"/>
        <w:tblCellMar>
          <w:top w:w="0" w:type="dxa"/>
          <w:left w:w="10" w:type="dxa"/>
          <w:bottom w:w="0" w:type="dxa"/>
          <w:right w:w="50" w:type="dxa"/>
        </w:tblCellMar>
        <w:tblLook w:firstRow="0" w:noVBand="0" w:lastRow="0" w:firstColumn="0" w:lastColumn="0" w:noHBand="0" w:val="0000"/>
      </w:tblPr>
      <w:tblGrid>
        <w:gridCol w:w="1078"/>
        <w:gridCol w:w="1628"/>
        <w:gridCol w:w="1699"/>
        <w:gridCol w:w="1561"/>
        <w:gridCol w:w="1870"/>
        <w:gridCol w:w="1628"/>
      </w:tblGrid>
      <w:tr>
        <w:trPr>
          <w:trHeight w:val="1035" w:hRule="atLeast"/>
        </w:trPr>
        <w:tc>
          <w:tcPr>
            <w:tcW w:w="107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ITEM</w:t>
            </w:r>
          </w:p>
        </w:tc>
        <w:tc>
          <w:tcPr>
            <w:tcW w:w="162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IDENT. CATMAT</w:t>
            </w:r>
          </w:p>
        </w:tc>
        <w:tc>
          <w:tcPr>
            <w:tcW w:w="1699"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UNIDADE DE MEDIDA</w:t>
            </w:r>
          </w:p>
        </w:tc>
        <w:tc>
          <w:tcPr>
            <w:tcW w:w="1561"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QUANTIDADE</w:t>
            </w:r>
          </w:p>
        </w:tc>
        <w:tc>
          <w:tcPr>
            <w:tcW w:w="1870"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VALOR UNITÁRIO MÁXIMO</w:t>
            </w:r>
          </w:p>
        </w:tc>
        <w:tc>
          <w:tcPr>
            <w:tcW w:w="162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VALOR MÁXIMO ACEITÁVEL</w:t>
            </w:r>
          </w:p>
        </w:tc>
      </w:tr>
      <w:tr>
        <w:trPr>
          <w:trHeight w:val="315" w:hRule="atLeast"/>
        </w:trPr>
        <w:tc>
          <w:tcPr>
            <w:tcW w:w="1078" w:type="dxa"/>
            <w:vMerge w:val="restart"/>
            <w:tcBorders>
              <w:top w:val="single" w:sz="8" w:space="0" w:color="000001"/>
              <w:left w:val="single" w:sz="8" w:space="0" w:color="00000A"/>
              <w:bottom w:val="single" w:sz="8" w:space="0" w:color="000001"/>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1</w:t>
            </w:r>
          </w:p>
        </w:tc>
        <w:tc>
          <w:tcPr>
            <w:tcW w:w="162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rFonts w:ascii="Arial" w:hAnsi="Arial" w:eastAsia="Times New Roman" w:cs="Arial"/>
                <w:color w:val="000000"/>
                <w:sz w:val="20"/>
                <w:szCs w:val="20"/>
                <w:lang w:eastAsia="pt-BR"/>
              </w:rPr>
            </w:pPr>
            <w:r>
              <w:rPr>
                <w:rFonts w:eastAsia="Times New Roman" w:cs="Arial"/>
                <w:color w:val="000000"/>
                <w:sz w:val="20"/>
                <w:szCs w:val="20"/>
                <w:lang w:eastAsia="pt-BR"/>
              </w:rPr>
              <w:t>132608</w:t>
            </w:r>
          </w:p>
        </w:tc>
        <w:tc>
          <w:tcPr>
            <w:tcW w:w="1699"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Und</w:t>
            </w:r>
          </w:p>
        </w:tc>
        <w:tc>
          <w:tcPr>
            <w:tcW w:w="1561"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3</w:t>
            </w:r>
          </w:p>
        </w:tc>
        <w:tc>
          <w:tcPr>
            <w:tcW w:w="1870"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b w:val="false"/>
                <w:b w:val="false"/>
                <w:bCs w:val="false"/>
              </w:rPr>
            </w:pPr>
            <w:r>
              <w:rPr>
                <w:rFonts w:eastAsia="Times New Roman" w:cs="Arial"/>
                <w:b w:val="false"/>
                <w:bCs w:val="false"/>
                <w:color w:val="000000"/>
                <w:sz w:val="20"/>
                <w:szCs w:val="20"/>
                <w:lang w:eastAsia="pt-BR"/>
              </w:rPr>
              <w:t>R$ 71.063,33</w:t>
            </w:r>
          </w:p>
        </w:tc>
        <w:tc>
          <w:tcPr>
            <w:tcW w:w="162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b w:val="false"/>
                <w:b w:val="false"/>
                <w:bCs w:val="false"/>
              </w:rPr>
            </w:pPr>
            <w:r>
              <w:rPr>
                <w:rFonts w:eastAsia="Times New Roman" w:cs="Arial"/>
                <w:b w:val="false"/>
                <w:bCs w:val="false"/>
                <w:color w:val="000000"/>
                <w:sz w:val="20"/>
                <w:szCs w:val="20"/>
                <w:lang w:eastAsia="pt-BR"/>
              </w:rPr>
              <w:t>R$ 213.189,99</w:t>
            </w:r>
          </w:p>
        </w:tc>
      </w:tr>
      <w:tr>
        <w:trPr>
          <w:trHeight w:val="525" w:hRule="atLeast"/>
        </w:trPr>
        <w:tc>
          <w:tcPr>
            <w:tcW w:w="1078" w:type="dxa"/>
            <w:vMerge w:val="continue"/>
            <w:tcBorders>
              <w:top w:val="single" w:sz="8" w:space="0" w:color="000001"/>
              <w:left w:val="single" w:sz="8" w:space="0" w:color="00000A"/>
              <w:bottom w:val="single" w:sz="8" w:space="0" w:color="000001"/>
              <w:right w:val="single" w:sz="8" w:space="0" w:color="00000A"/>
            </w:tcBorders>
            <w:shd w:color="auto" w:fill="FFFFFF" w:val="clear"/>
            <w:vAlign w:val="center"/>
          </w:tcPr>
          <w:p>
            <w:pPr>
              <w:pStyle w:val="Normal"/>
              <w:widowControl w:val="false"/>
              <w:spacing w:before="0" w:after="160"/>
              <w:rPr>
                <w:rFonts w:ascii="Arial" w:hAnsi="Arial"/>
                <w:sz w:val="20"/>
                <w:szCs w:val="20"/>
              </w:rPr>
            </w:pPr>
            <w:r>
              <w:rPr>
                <w:sz w:val="20"/>
                <w:szCs w:val="20"/>
              </w:rPr>
            </w:r>
          </w:p>
        </w:tc>
        <w:tc>
          <w:tcPr>
            <w:tcW w:w="162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DESCRIÇÃO</w:t>
            </w:r>
          </w:p>
        </w:tc>
        <w:tc>
          <w:tcPr>
            <w:tcW w:w="6758" w:type="dxa"/>
            <w:gridSpan w:val="4"/>
            <w:tcBorders>
              <w:top w:val="single" w:sz="8" w:space="0" w:color="00000A"/>
              <w:left w:val="single" w:sz="8" w:space="0" w:color="000001"/>
              <w:bottom w:val="single" w:sz="8" w:space="0" w:color="00000A"/>
              <w:right w:val="single" w:sz="8" w:space="0" w:color="000001"/>
            </w:tcBorders>
            <w:shd w:color="auto" w:fill="FFFFFF" w:val="clear"/>
            <w:vAlign w:val="center"/>
          </w:tcPr>
          <w:p>
            <w:pPr>
              <w:pStyle w:val="Normal"/>
              <w:keepNext w:val="true"/>
              <w:keepLines w:val="false"/>
              <w:widowControl w:val="false"/>
              <w:spacing w:lineRule="auto" w:line="240" w:before="0" w:after="0"/>
              <w:jc w:val="both"/>
              <w:textAlignment w:val="bottom"/>
              <w:rPr/>
            </w:pPr>
            <w:r>
              <w:rPr>
                <w:rFonts w:eastAsia="Times New Roman" w:cs="Arial"/>
                <w:b w:val="false"/>
                <w:bCs w:val="false"/>
                <w:color w:val="000000"/>
                <w:position w:val="0"/>
                <w:sz w:val="20"/>
                <w:sz w:val="20"/>
                <w:szCs w:val="20"/>
                <w:vertAlign w:val="baseline"/>
                <w:lang w:val="pt-BR" w:eastAsia="pt-BR"/>
              </w:rPr>
              <w:t>Cabine de pintura eletrostática com aplicador manual, conforme FET.DT.P03.002.</w:t>
            </w:r>
          </w:p>
        </w:tc>
      </w:tr>
      <w:tr>
        <w:trPr>
          <w:trHeight w:val="315" w:hRule="atLeast"/>
        </w:trPr>
        <w:tc>
          <w:tcPr>
            <w:tcW w:w="7836" w:type="dxa"/>
            <w:gridSpan w:val="5"/>
            <w:tcBorders>
              <w:top w:val="single" w:sz="8" w:space="0" w:color="000001"/>
              <w:left w:val="single" w:sz="8" w:space="0" w:color="00000A"/>
              <w:bottom w:val="single" w:sz="8" w:space="0" w:color="000001"/>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color w:val="000000"/>
                <w:sz w:val="20"/>
                <w:szCs w:val="20"/>
                <w:lang w:eastAsia="pt-BR"/>
              </w:rPr>
              <w:t>VALOR TOTAL</w:t>
            </w:r>
          </w:p>
        </w:tc>
        <w:tc>
          <w:tcPr>
            <w:tcW w:w="1628" w:type="dxa"/>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bCs/>
                <w:color w:val="000000"/>
                <w:sz w:val="20"/>
                <w:szCs w:val="20"/>
                <w:lang w:eastAsia="pt-BR"/>
              </w:rPr>
              <w:t>R$ 213.189,99</w:t>
            </w:r>
          </w:p>
        </w:tc>
      </w:tr>
    </w:tbl>
    <w:p>
      <w:pPr>
        <w:pStyle w:val="Normal"/>
        <w:spacing w:lineRule="auto" w:line="276" w:before="0" w:after="120"/>
        <w:jc w:val="both"/>
        <w:rPr>
          <w:rFonts w:cs="Arial"/>
          <w:b/>
          <w:b/>
          <w:color w:val="FF0000"/>
          <w:szCs w:val="20"/>
          <w:u w:val="single"/>
          <w:shd w:fill="auto" w:val="clear"/>
        </w:rPr>
      </w:pPr>
      <w:r>
        <w:rPr>
          <w:rFonts w:cs="Arial"/>
          <w:b/>
          <w:color w:val="FF0000"/>
          <w:szCs w:val="20"/>
          <w:u w:val="single"/>
          <w:shd w:fill="auto" w:val="clear"/>
        </w:rPr>
      </w:r>
    </w:p>
    <w:p>
      <w:pPr>
        <w:pStyle w:val="Normal"/>
        <w:numPr>
          <w:ilvl w:val="2"/>
          <w:numId w:val="1"/>
        </w:numPr>
        <w:spacing w:lineRule="auto" w:line="276" w:before="120" w:after="120"/>
        <w:jc w:val="both"/>
        <w:rPr>
          <w:shd w:fill="auto" w:val="clear"/>
        </w:rPr>
      </w:pPr>
      <w:r>
        <w:rPr>
          <w:rFonts w:cs="Arial"/>
          <w:i/>
          <w:color w:val="FF0000"/>
          <w:szCs w:val="20"/>
          <w:shd w:fill="auto" w:val="clear"/>
        </w:rPr>
        <w:t xml:space="preserve"> </w:t>
      </w:r>
      <w:r>
        <w:rPr>
          <w:rFonts w:cs="Arial"/>
          <w:i w:val="false"/>
          <w:iCs w:val="false"/>
          <w:color w:val="000000"/>
          <w:szCs w:val="20"/>
          <w:shd w:fill="auto" w:val="clear"/>
        </w:rPr>
        <w:t>Estimativas de consumo individualizadas, do órgão gerenciador e órgão(s) e entidade(s) participante(s).</w:t>
      </w:r>
    </w:p>
    <w:tbl>
      <w:tblPr>
        <w:tblW w:w="8724" w:type="dxa"/>
        <w:jc w:val="left"/>
        <w:tblInd w:w="-138" w:type="dxa"/>
        <w:tblLayout w:type="fixed"/>
        <w:tblCellMar>
          <w:top w:w="0" w:type="dxa"/>
          <w:left w:w="10" w:type="dxa"/>
          <w:bottom w:w="0" w:type="dxa"/>
          <w:right w:w="60" w:type="dxa"/>
        </w:tblCellMar>
        <w:tblLook w:firstRow="1" w:noVBand="1" w:lastRow="0" w:firstColumn="1" w:lastColumn="0" w:noHBand="0" w:val="04a0"/>
      </w:tblPr>
      <w:tblGrid>
        <w:gridCol w:w="615"/>
        <w:gridCol w:w="1538"/>
        <w:gridCol w:w="2572"/>
        <w:gridCol w:w="559"/>
        <w:gridCol w:w="634"/>
        <w:gridCol w:w="1332"/>
        <w:gridCol w:w="109"/>
        <w:gridCol w:w="1364"/>
      </w:tblGrid>
      <w:tr>
        <w:trPr>
          <w:trHeight w:val="315" w:hRule="atLeast"/>
        </w:trPr>
        <w:tc>
          <w:tcPr>
            <w:tcW w:w="8723" w:type="dxa"/>
            <w:gridSpan w:val="8"/>
            <w:tcBorders>
              <w:top w:val="single" w:sz="8" w:space="0" w:color="00000A"/>
              <w:left w:val="single" w:sz="8" w:space="0" w:color="00000A"/>
              <w:bottom w:val="single" w:sz="8" w:space="0" w:color="00000A"/>
              <w:right w:val="single" w:sz="8" w:space="0" w:color="000001"/>
            </w:tcBorders>
            <w:shd w:fill="auto" w:val="clear"/>
            <w:vAlign w:val="center"/>
          </w:tcPr>
          <w:p>
            <w:pPr>
              <w:pStyle w:val="Normal"/>
              <w:widowControl w:val="false"/>
              <w:bidi w:val="0"/>
              <w:spacing w:lineRule="auto" w:line="259" w:before="0" w:after="160"/>
              <w:jc w:val="left"/>
              <w:rPr/>
            </w:pPr>
            <w:r>
              <w:rPr>
                <w:rFonts w:eastAsia="Times New Roman" w:cs="Arial"/>
                <w:b/>
                <w:bCs/>
                <w:color w:val="000000"/>
                <w:sz w:val="20"/>
                <w:szCs w:val="20"/>
                <w:lang w:eastAsia="pt-BR"/>
              </w:rPr>
              <w:t>ÓRGÃO GERENCIADOR: ARSENAL DE GUERRA DE SÃO PAULO</w:t>
            </w:r>
          </w:p>
        </w:tc>
      </w:tr>
      <w:tr>
        <w:trPr>
          <w:trHeight w:val="1035" w:hRule="atLeast"/>
        </w:trPr>
        <w:tc>
          <w:tcPr>
            <w:tcW w:w="615"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ITEM</w:t>
            </w:r>
          </w:p>
        </w:tc>
        <w:tc>
          <w:tcPr>
            <w:tcW w:w="1538"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IDENT. CATMAT</w:t>
            </w:r>
          </w:p>
        </w:tc>
        <w:tc>
          <w:tcPr>
            <w:tcW w:w="2572"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UNIDADE DE MEDIDA</w:t>
            </w:r>
          </w:p>
        </w:tc>
        <w:tc>
          <w:tcPr>
            <w:tcW w:w="559"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REQ. MÍN.</w:t>
            </w:r>
          </w:p>
        </w:tc>
        <w:tc>
          <w:tcPr>
            <w:tcW w:w="634"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REQ. MÁX.</w:t>
            </w:r>
          </w:p>
        </w:tc>
        <w:tc>
          <w:tcPr>
            <w:tcW w:w="1441" w:type="dxa"/>
            <w:gridSpan w:val="2"/>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QUANTIDADE TOTAL</w:t>
            </w:r>
          </w:p>
        </w:tc>
        <w:tc>
          <w:tcPr>
            <w:tcW w:w="1364"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VALOR UNITÁRIO MÁXIMO</w:t>
            </w:r>
          </w:p>
        </w:tc>
      </w:tr>
      <w:tr>
        <w:trPr>
          <w:trHeight w:val="434" w:hRule="atLeast"/>
        </w:trPr>
        <w:tc>
          <w:tcPr>
            <w:tcW w:w="615" w:type="dxa"/>
            <w:vMerge w:val="restart"/>
            <w:tcBorders>
              <w:top w:val="single" w:sz="8" w:space="0" w:color="000001"/>
              <w:left w:val="single" w:sz="8" w:space="0" w:color="00000A"/>
              <w:bottom w:val="single" w:sz="8" w:space="0" w:color="000001"/>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color w:val="000000"/>
                <w:sz w:val="20"/>
                <w:szCs w:val="20"/>
                <w:lang w:eastAsia="pt-BR"/>
              </w:rPr>
            </w:pPr>
            <w:r>
              <w:rPr>
                <w:rFonts w:eastAsia="Times New Roman" w:cs="Arial"/>
                <w:color w:val="000000"/>
                <w:sz w:val="20"/>
                <w:szCs w:val="20"/>
                <w:lang w:eastAsia="pt-BR"/>
              </w:rPr>
              <w:t>1</w:t>
            </w:r>
          </w:p>
        </w:tc>
        <w:tc>
          <w:tcPr>
            <w:tcW w:w="1538"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color w:val="000000"/>
                <w:sz w:val="20"/>
                <w:szCs w:val="20"/>
                <w:lang w:eastAsia="pt-BR"/>
              </w:rPr>
            </w:pPr>
            <w:r>
              <w:rPr>
                <w:rFonts w:eastAsia="Times New Roman" w:cs="Arial"/>
                <w:color w:val="000000"/>
                <w:sz w:val="20"/>
                <w:szCs w:val="20"/>
                <w:lang w:eastAsia="pt-BR"/>
              </w:rPr>
              <w:t>132608</w:t>
            </w:r>
          </w:p>
        </w:tc>
        <w:tc>
          <w:tcPr>
            <w:tcW w:w="2572"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 </w:t>
            </w:r>
            <w:r>
              <w:rPr>
                <w:rFonts w:eastAsia="Times New Roman" w:cs="Arial"/>
                <w:color w:val="000000"/>
                <w:sz w:val="20"/>
                <w:szCs w:val="20"/>
                <w:lang w:eastAsia="pt-BR"/>
              </w:rPr>
              <w:t>Und</w:t>
            </w:r>
          </w:p>
        </w:tc>
        <w:tc>
          <w:tcPr>
            <w:tcW w:w="559"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 </w:t>
            </w:r>
            <w:r>
              <w:rPr>
                <w:rFonts w:eastAsia="Times New Roman" w:cs="Arial"/>
                <w:color w:val="000000"/>
                <w:sz w:val="20"/>
                <w:szCs w:val="20"/>
                <w:lang w:eastAsia="pt-BR"/>
              </w:rPr>
              <w:t>1</w:t>
            </w:r>
          </w:p>
        </w:tc>
        <w:tc>
          <w:tcPr>
            <w:tcW w:w="634"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2</w:t>
            </w:r>
          </w:p>
        </w:tc>
        <w:tc>
          <w:tcPr>
            <w:tcW w:w="1441" w:type="dxa"/>
            <w:gridSpan w:val="2"/>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2</w:t>
            </w:r>
          </w:p>
        </w:tc>
        <w:tc>
          <w:tcPr>
            <w:tcW w:w="1364"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 </w:t>
            </w:r>
            <w:r>
              <w:rPr>
                <w:rFonts w:eastAsia="Times New Roman" w:cs="Arial"/>
                <w:color w:val="000000"/>
                <w:sz w:val="20"/>
                <w:szCs w:val="20"/>
                <w:lang w:eastAsia="pt-BR"/>
              </w:rPr>
              <w:t>R$ 71.063,33</w:t>
            </w:r>
          </w:p>
        </w:tc>
      </w:tr>
      <w:tr>
        <w:trPr>
          <w:trHeight w:val="510" w:hRule="atLeast"/>
        </w:trPr>
        <w:tc>
          <w:tcPr>
            <w:tcW w:w="615" w:type="dxa"/>
            <w:vMerge w:val="continue"/>
            <w:tcBorders>
              <w:top w:val="single" w:sz="8" w:space="0" w:color="000001"/>
              <w:left w:val="single" w:sz="8" w:space="0" w:color="00000A"/>
              <w:bottom w:val="single" w:sz="8" w:space="0" w:color="000001"/>
              <w:right w:val="single" w:sz="8" w:space="0" w:color="00000A"/>
            </w:tcBorders>
            <w:shd w:fill="auto" w:val="clear"/>
            <w:vAlign w:val="center"/>
          </w:tcPr>
          <w:p>
            <w:pPr>
              <w:pStyle w:val="Normal"/>
              <w:widowControl w:val="false"/>
              <w:spacing w:lineRule="auto" w:line="240" w:before="0" w:after="0"/>
              <w:rPr>
                <w:rFonts w:ascii="Arial" w:hAnsi="Arial" w:eastAsia="Times New Roman" w:cs="Arial"/>
                <w:color w:val="000000"/>
                <w:sz w:val="20"/>
                <w:szCs w:val="20"/>
                <w:lang w:eastAsia="pt-BR"/>
              </w:rPr>
            </w:pPr>
            <w:r>
              <w:rPr>
                <w:rFonts w:eastAsia="Times New Roman" w:cs="Arial"/>
                <w:color w:val="000000"/>
                <w:sz w:val="20"/>
                <w:szCs w:val="20"/>
                <w:lang w:eastAsia="pt-BR"/>
              </w:rPr>
            </w:r>
          </w:p>
        </w:tc>
        <w:tc>
          <w:tcPr>
            <w:tcW w:w="1538" w:type="dxa"/>
            <w:tcBorders>
              <w:top w:val="single" w:sz="8" w:space="0" w:color="00000A"/>
              <w:left w:val="single" w:sz="8" w:space="0" w:color="00000A"/>
              <w:bottom w:val="single" w:sz="8" w:space="0" w:color="00000A"/>
              <w:right w:val="single" w:sz="8" w:space="0" w:color="00000A"/>
            </w:tcBorders>
            <w:shd w:fill="auto" w:val="clear"/>
            <w:vAlign w:val="center"/>
          </w:tcPr>
          <w:p>
            <w:pPr>
              <w:pStyle w:val="Normal"/>
              <w:widowControl w:val="false"/>
              <w:spacing w:lineRule="auto" w:line="240" w:before="0" w:after="0"/>
              <w:jc w:val="center"/>
              <w:rPr>
                <w:rFonts w:ascii="Arial" w:hAnsi="Arial" w:eastAsia="Times New Roman" w:cs="Arial"/>
                <w:b w:val="false"/>
                <w:b w:val="false"/>
                <w:bCs w:val="false"/>
                <w:color w:val="000000"/>
                <w:position w:val="0"/>
                <w:sz w:val="20"/>
                <w:sz w:val="20"/>
                <w:szCs w:val="20"/>
                <w:vertAlign w:val="baseline"/>
                <w:lang w:val="pt-BR" w:eastAsia="pt-BR"/>
              </w:rPr>
            </w:pPr>
            <w:r>
              <w:rPr>
                <w:rFonts w:eastAsia="Times New Roman" w:cs="Arial"/>
                <w:b/>
                <w:bCs/>
                <w:color w:val="000000"/>
                <w:sz w:val="20"/>
                <w:szCs w:val="20"/>
                <w:lang w:eastAsia="pt-BR"/>
              </w:rPr>
              <w:t>DESCRIÇÃO</w:t>
            </w:r>
          </w:p>
        </w:tc>
        <w:tc>
          <w:tcPr>
            <w:tcW w:w="6570" w:type="dxa"/>
            <w:gridSpan w:val="6"/>
            <w:tcBorders>
              <w:top w:val="single" w:sz="8" w:space="0" w:color="00000A"/>
              <w:left w:val="single" w:sz="8" w:space="0" w:color="000001"/>
              <w:bottom w:val="single" w:sz="8" w:space="0" w:color="00000A"/>
              <w:right w:val="single" w:sz="8" w:space="0" w:color="000001"/>
            </w:tcBorders>
            <w:shd w:fill="auto" w:val="clear"/>
            <w:vAlign w:val="center"/>
          </w:tcPr>
          <w:p>
            <w:pPr>
              <w:pStyle w:val="Normal"/>
              <w:keepNext w:val="true"/>
              <w:keepLines w:val="false"/>
              <w:widowControl w:val="false"/>
              <w:spacing w:lineRule="auto" w:line="240" w:before="0" w:after="0"/>
              <w:jc w:val="both"/>
              <w:textAlignment w:val="bottom"/>
              <w:rPr/>
            </w:pPr>
            <w:r>
              <w:rPr>
                <w:rFonts w:eastAsia="Times New Roman" w:cs="Arial"/>
                <w:b w:val="false"/>
                <w:bCs w:val="false"/>
                <w:color w:val="000000"/>
                <w:position w:val="0"/>
                <w:sz w:val="20"/>
                <w:sz w:val="20"/>
                <w:szCs w:val="20"/>
                <w:vertAlign w:val="baseline"/>
                <w:lang w:val="pt-BR" w:eastAsia="pt-BR"/>
              </w:rPr>
              <w:t>Cabine de pintura eletrostática com aplicador manual, conforme FET.DT.P03.002.</w:t>
            </w:r>
          </w:p>
        </w:tc>
      </w:tr>
      <w:tr>
        <w:trPr>
          <w:trHeight w:val="315" w:hRule="atLeast"/>
        </w:trPr>
        <w:tc>
          <w:tcPr>
            <w:tcW w:w="7250" w:type="dxa"/>
            <w:gridSpan w:val="6"/>
            <w:tcBorders>
              <w:top w:val="single" w:sz="8" w:space="0" w:color="000001"/>
              <w:left w:val="single" w:sz="8" w:space="0" w:color="00000A"/>
              <w:bottom w:val="single" w:sz="8" w:space="0" w:color="000001"/>
              <w:right w:val="single" w:sz="8" w:space="0" w:color="00000A"/>
            </w:tcBorders>
            <w:shd w:color="auto" w:fill="FFFFFF" w:val="clear"/>
            <w:vAlign w:val="center"/>
          </w:tcPr>
          <w:p>
            <w:pPr>
              <w:pStyle w:val="Normal"/>
              <w:widowControl w:val="false"/>
              <w:spacing w:lineRule="auto" w:line="240" w:before="0" w:after="0"/>
              <w:jc w:val="center"/>
              <w:rPr/>
            </w:pPr>
            <w:r>
              <w:rPr>
                <w:rFonts w:eastAsia="Times New Roman" w:cs="Arial"/>
                <w:b/>
                <w:color w:val="000000"/>
                <w:sz w:val="20"/>
                <w:szCs w:val="20"/>
                <w:lang w:eastAsia="pt-BR"/>
              </w:rPr>
              <w:t>VALOR TOTAL</w:t>
            </w:r>
          </w:p>
        </w:tc>
        <w:tc>
          <w:tcPr>
            <w:tcW w:w="1473" w:type="dxa"/>
            <w:gridSpan w:val="2"/>
            <w:tcBorders>
              <w:top w:val="single" w:sz="8" w:space="0" w:color="00000A"/>
              <w:left w:val="single" w:sz="8" w:space="0" w:color="00000A"/>
              <w:bottom w:val="single" w:sz="8" w:space="0" w:color="00000A"/>
              <w:right w:val="single" w:sz="8" w:space="0" w:color="00000A"/>
            </w:tcBorders>
            <w:shd w:color="auto" w:fill="FFFFFF" w:val="clear"/>
            <w:vAlign w:val="center"/>
          </w:tcPr>
          <w:p>
            <w:pPr>
              <w:pStyle w:val="Normal"/>
              <w:widowControl w:val="false"/>
              <w:spacing w:lineRule="auto" w:line="240" w:before="0" w:after="0"/>
              <w:jc w:val="center"/>
              <w:rPr>
                <w:b/>
                <w:b/>
                <w:bCs/>
              </w:rPr>
            </w:pPr>
            <w:r>
              <w:rPr>
                <w:rFonts w:eastAsia="Times New Roman" w:cs="Arial"/>
                <w:b/>
                <w:bCs/>
                <w:color w:val="000000"/>
                <w:sz w:val="20"/>
                <w:szCs w:val="20"/>
                <w:lang w:eastAsia="pt-BR"/>
              </w:rPr>
              <w:t>R$ 142.</w:t>
            </w:r>
            <w:r>
              <w:rPr>
                <w:rFonts w:eastAsia="Times New Roman" w:cs="Arial"/>
                <w:b/>
                <w:bCs/>
                <w:color w:val="000000"/>
                <w:kern w:val="0"/>
                <w:sz w:val="20"/>
                <w:szCs w:val="20"/>
                <w:lang w:val="pt-BR" w:eastAsia="pt-BR" w:bidi="ar-SA"/>
              </w:rPr>
              <w:t>126</w:t>
            </w:r>
            <w:r>
              <w:rPr>
                <w:rFonts w:eastAsia="Times New Roman" w:cs="Arial"/>
                <w:b/>
                <w:bCs/>
                <w:color w:val="000000"/>
                <w:sz w:val="20"/>
                <w:szCs w:val="20"/>
                <w:lang w:eastAsia="pt-BR"/>
              </w:rPr>
              <w:t>,</w:t>
            </w:r>
            <w:r>
              <w:rPr>
                <w:rFonts w:eastAsia="Times New Roman" w:cs="Arial"/>
                <w:b/>
                <w:bCs/>
                <w:color w:val="000000"/>
                <w:kern w:val="0"/>
                <w:sz w:val="20"/>
                <w:szCs w:val="20"/>
                <w:lang w:val="pt-BR" w:eastAsia="pt-BR" w:bidi="ar-SA"/>
              </w:rPr>
              <w:t>66</w:t>
            </w:r>
          </w:p>
        </w:tc>
      </w:tr>
    </w:tbl>
    <w:p>
      <w:pPr>
        <w:pStyle w:val="Normal"/>
        <w:rPr/>
      </w:pPr>
      <w:r>
        <w:rPr/>
      </w:r>
    </w:p>
    <w:tbl>
      <w:tblPr>
        <w:tblW w:w="8718" w:type="dxa"/>
        <w:jc w:val="left"/>
        <w:tblInd w:w="-138" w:type="dxa"/>
        <w:tblLayout w:type="fixed"/>
        <w:tblCellMar>
          <w:top w:w="0" w:type="dxa"/>
          <w:left w:w="10" w:type="dxa"/>
          <w:bottom w:w="0" w:type="dxa"/>
          <w:right w:w="50" w:type="dxa"/>
        </w:tblCellMar>
        <w:tblLook w:firstRow="1" w:noVBand="1" w:lastRow="0" w:firstColumn="1" w:lastColumn="0" w:noHBand="0" w:val="04a0"/>
      </w:tblPr>
      <w:tblGrid>
        <w:gridCol w:w="612"/>
        <w:gridCol w:w="1542"/>
        <w:gridCol w:w="2572"/>
        <w:gridCol w:w="557"/>
        <w:gridCol w:w="634"/>
        <w:gridCol w:w="1053"/>
        <w:gridCol w:w="387"/>
        <w:gridCol w:w="1360"/>
      </w:tblGrid>
      <w:tr>
        <w:trPr>
          <w:trHeight w:val="315" w:hRule="atLeast"/>
        </w:trPr>
        <w:tc>
          <w:tcPr>
            <w:tcW w:w="8717" w:type="dxa"/>
            <w:gridSpan w:val="8"/>
            <w:tcBorders>
              <w:top w:val="single" w:sz="8" w:space="0" w:color="00000A"/>
              <w:left w:val="single" w:sz="8" w:space="0" w:color="00000A"/>
              <w:bottom w:val="single" w:sz="8" w:space="0" w:color="00000A"/>
              <w:right w:val="single" w:sz="8" w:space="0" w:color="000001"/>
            </w:tcBorders>
            <w:shd w:color="auto" w:fill="auto" w:val="clear"/>
            <w:vAlign w:val="center"/>
          </w:tcPr>
          <w:p>
            <w:pPr>
              <w:pStyle w:val="Normal"/>
              <w:widowControl w:val="false"/>
              <w:spacing w:before="0" w:after="160"/>
              <w:rPr>
                <w:rFonts w:ascii="Arial" w:hAnsi="Arial"/>
                <w:sz w:val="20"/>
                <w:szCs w:val="20"/>
              </w:rPr>
            </w:pPr>
            <w:r>
              <w:rPr>
                <w:rFonts w:eastAsia="Times New Roman" w:cs="Arial"/>
                <w:b/>
                <w:bCs/>
                <w:color w:val="000000"/>
                <w:sz w:val="20"/>
                <w:szCs w:val="20"/>
                <w:lang w:eastAsia="pt-BR"/>
              </w:rPr>
              <w:t>ÓRGÃO PARTICIPANTE: 22° BATALHÃO LOGÍSTICO LEVE</w:t>
            </w:r>
          </w:p>
        </w:tc>
      </w:tr>
      <w:tr>
        <w:trPr>
          <w:trHeight w:val="1035" w:hRule="atLeast"/>
        </w:trPr>
        <w:tc>
          <w:tcPr>
            <w:tcW w:w="61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ITEM</w:t>
            </w:r>
          </w:p>
        </w:tc>
        <w:tc>
          <w:tcPr>
            <w:tcW w:w="154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IDENT. CATMAT</w:t>
            </w:r>
          </w:p>
        </w:tc>
        <w:tc>
          <w:tcPr>
            <w:tcW w:w="257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UNIDADE DE MEDIDA</w:t>
            </w:r>
          </w:p>
        </w:tc>
        <w:tc>
          <w:tcPr>
            <w:tcW w:w="55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REQ. MÍN.</w:t>
            </w:r>
          </w:p>
        </w:tc>
        <w:tc>
          <w:tcPr>
            <w:tcW w:w="63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REQ. MÁX.</w:t>
            </w:r>
          </w:p>
        </w:tc>
        <w:tc>
          <w:tcPr>
            <w:tcW w:w="1440" w:type="dxa"/>
            <w:gridSpan w:val="2"/>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QUANTIDADE TOTAL</w:t>
            </w:r>
          </w:p>
        </w:tc>
        <w:tc>
          <w:tcPr>
            <w:tcW w:w="13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20"/>
                <w:szCs w:val="20"/>
                <w:lang w:eastAsia="pt-BR"/>
              </w:rPr>
            </w:pPr>
            <w:r>
              <w:rPr>
                <w:rFonts w:eastAsia="Times New Roman" w:cs="Arial"/>
                <w:b/>
                <w:bCs/>
                <w:color w:val="000000"/>
                <w:sz w:val="20"/>
                <w:szCs w:val="20"/>
                <w:lang w:eastAsia="pt-BR"/>
              </w:rPr>
              <w:t>VALOR UNITÁRIO MÁXIMO</w:t>
            </w:r>
          </w:p>
        </w:tc>
      </w:tr>
      <w:tr>
        <w:trPr>
          <w:trHeight w:val="434" w:hRule="atLeast"/>
        </w:trPr>
        <w:tc>
          <w:tcPr>
            <w:tcW w:w="612" w:type="dxa"/>
            <w:vMerge w:val="restart"/>
            <w:tcBorders>
              <w:top w:val="single" w:sz="8" w:space="0" w:color="000001"/>
              <w:left w:val="single" w:sz="8" w:space="0" w:color="00000A"/>
              <w:bottom w:val="single" w:sz="8" w:space="0" w:color="000001"/>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20"/>
                <w:szCs w:val="20"/>
                <w:lang w:eastAsia="pt-BR"/>
              </w:rPr>
            </w:pPr>
            <w:r>
              <w:rPr>
                <w:rFonts w:eastAsia="Times New Roman" w:cs="Arial"/>
                <w:color w:val="000000"/>
                <w:sz w:val="20"/>
                <w:szCs w:val="20"/>
                <w:lang w:eastAsia="pt-BR"/>
              </w:rPr>
              <w:t>1</w:t>
            </w:r>
          </w:p>
        </w:tc>
        <w:tc>
          <w:tcPr>
            <w:tcW w:w="154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20"/>
                <w:szCs w:val="20"/>
                <w:lang w:eastAsia="pt-BR"/>
              </w:rPr>
            </w:pPr>
            <w:r>
              <w:rPr>
                <w:rFonts w:eastAsia="Times New Roman" w:cs="Arial"/>
                <w:color w:val="000000"/>
                <w:sz w:val="20"/>
                <w:szCs w:val="20"/>
                <w:lang w:eastAsia="pt-BR"/>
              </w:rPr>
              <w:t>132608</w:t>
            </w:r>
          </w:p>
        </w:tc>
        <w:tc>
          <w:tcPr>
            <w:tcW w:w="257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 </w:t>
            </w:r>
            <w:r>
              <w:rPr>
                <w:rFonts w:eastAsia="Times New Roman" w:cs="Arial"/>
                <w:color w:val="000000"/>
                <w:sz w:val="20"/>
                <w:szCs w:val="20"/>
                <w:lang w:eastAsia="pt-BR"/>
              </w:rPr>
              <w:t>Und</w:t>
            </w:r>
          </w:p>
        </w:tc>
        <w:tc>
          <w:tcPr>
            <w:tcW w:w="55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 </w:t>
            </w:r>
            <w:r>
              <w:rPr>
                <w:rFonts w:eastAsia="Times New Roman" w:cs="Arial"/>
                <w:color w:val="000000"/>
                <w:sz w:val="20"/>
                <w:szCs w:val="20"/>
                <w:lang w:eastAsia="pt-BR"/>
              </w:rPr>
              <w:t>1</w:t>
            </w:r>
          </w:p>
        </w:tc>
        <w:tc>
          <w:tcPr>
            <w:tcW w:w="63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1</w:t>
            </w:r>
          </w:p>
        </w:tc>
        <w:tc>
          <w:tcPr>
            <w:tcW w:w="1440" w:type="dxa"/>
            <w:gridSpan w:val="2"/>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1</w:t>
            </w:r>
          </w:p>
        </w:tc>
        <w:tc>
          <w:tcPr>
            <w:tcW w:w="13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pPr>
            <w:r>
              <w:rPr>
                <w:rFonts w:eastAsia="Times New Roman" w:cs="Arial"/>
                <w:color w:val="000000"/>
                <w:sz w:val="20"/>
                <w:szCs w:val="20"/>
                <w:lang w:eastAsia="pt-BR"/>
              </w:rPr>
              <w:t> </w:t>
            </w:r>
            <w:r>
              <w:rPr>
                <w:rFonts w:eastAsia="Times New Roman" w:cs="Arial"/>
                <w:color w:val="000000"/>
                <w:sz w:val="20"/>
                <w:szCs w:val="20"/>
                <w:lang w:eastAsia="pt-BR"/>
              </w:rPr>
              <w:t>R$ 71.063,33</w:t>
            </w:r>
          </w:p>
        </w:tc>
      </w:tr>
      <w:tr>
        <w:trPr>
          <w:trHeight w:val="510" w:hRule="atLeast"/>
        </w:trPr>
        <w:tc>
          <w:tcPr>
            <w:tcW w:w="612" w:type="dxa"/>
            <w:vMerge w:val="continue"/>
            <w:tcBorders>
              <w:top w:val="single" w:sz="8" w:space="0" w:color="000001"/>
              <w:left w:val="single" w:sz="8" w:space="0" w:color="00000A"/>
              <w:bottom w:val="single" w:sz="8" w:space="0" w:color="000001"/>
              <w:right w:val="single" w:sz="8" w:space="0" w:color="00000A"/>
            </w:tcBorders>
            <w:shd w:color="auto" w:fill="auto" w:val="clear"/>
            <w:vAlign w:val="center"/>
          </w:tcPr>
          <w:p>
            <w:pPr>
              <w:pStyle w:val="Normal"/>
              <w:widowControl w:val="false"/>
              <w:spacing w:lineRule="auto" w:line="240" w:before="0" w:after="0"/>
              <w:rPr>
                <w:rFonts w:ascii="Arial" w:hAnsi="Arial" w:eastAsia="Times New Roman" w:cs="Arial"/>
                <w:color w:val="000000"/>
                <w:sz w:val="20"/>
                <w:szCs w:val="20"/>
                <w:lang w:eastAsia="pt-BR"/>
              </w:rPr>
            </w:pPr>
            <w:r>
              <w:rPr>
                <w:rFonts w:eastAsia="Times New Roman" w:cs="Arial"/>
                <w:color w:val="000000"/>
                <w:sz w:val="20"/>
                <w:szCs w:val="20"/>
                <w:lang w:eastAsia="pt-BR"/>
              </w:rPr>
            </w:r>
          </w:p>
        </w:tc>
        <w:tc>
          <w:tcPr>
            <w:tcW w:w="154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spacing w:lineRule="auto" w:line="240" w:before="0" w:after="0"/>
              <w:jc w:val="center"/>
              <w:rPr>
                <w:rFonts w:ascii="Arial" w:hAnsi="Arial" w:eastAsia="Times New Roman" w:cs="Arial"/>
                <w:b w:val="false"/>
                <w:b w:val="false"/>
                <w:bCs w:val="false"/>
                <w:color w:val="000000"/>
                <w:position w:val="0"/>
                <w:sz w:val="20"/>
                <w:sz w:val="20"/>
                <w:szCs w:val="20"/>
                <w:vertAlign w:val="baseline"/>
                <w:lang w:val="pt-BR" w:eastAsia="pt-BR"/>
              </w:rPr>
            </w:pPr>
            <w:r>
              <w:rPr>
                <w:rFonts w:eastAsia="Times New Roman" w:cs="Arial"/>
                <w:b/>
                <w:bCs/>
                <w:color w:val="000000"/>
                <w:sz w:val="20"/>
                <w:szCs w:val="20"/>
                <w:lang w:eastAsia="pt-BR"/>
              </w:rPr>
              <w:t>DESCRIÇÃO</w:t>
            </w:r>
          </w:p>
        </w:tc>
        <w:tc>
          <w:tcPr>
            <w:tcW w:w="6563" w:type="dxa"/>
            <w:gridSpan w:val="6"/>
            <w:tcBorders>
              <w:top w:val="single" w:sz="8" w:space="0" w:color="00000A"/>
              <w:left w:val="single" w:sz="8" w:space="0" w:color="000001"/>
              <w:bottom w:val="single" w:sz="8" w:space="0" w:color="00000A"/>
              <w:right w:val="single" w:sz="8" w:space="0" w:color="000001"/>
            </w:tcBorders>
            <w:shd w:color="auto" w:fill="auto" w:val="clear"/>
            <w:vAlign w:val="center"/>
          </w:tcPr>
          <w:p>
            <w:pPr>
              <w:pStyle w:val="Normal"/>
              <w:keepNext w:val="true"/>
              <w:keepLines w:val="false"/>
              <w:widowControl w:val="false"/>
              <w:spacing w:lineRule="auto" w:line="240" w:before="0" w:after="0"/>
              <w:jc w:val="both"/>
              <w:textAlignment w:val="bottom"/>
              <w:rPr/>
            </w:pPr>
            <w:r>
              <w:rPr>
                <w:rFonts w:eastAsia="Times New Roman" w:cs="Arial"/>
                <w:b w:val="false"/>
                <w:bCs w:val="false"/>
                <w:color w:val="000000"/>
                <w:position w:val="0"/>
                <w:sz w:val="20"/>
                <w:sz w:val="20"/>
                <w:szCs w:val="20"/>
                <w:vertAlign w:val="baseline"/>
                <w:lang w:val="pt-BR" w:eastAsia="pt-BR"/>
              </w:rPr>
              <w:t>Cabine de pintura eletrostática com aplicador manual, conforme FET.DT.P03.002.</w:t>
            </w:r>
          </w:p>
        </w:tc>
      </w:tr>
      <w:tr>
        <w:trPr>
          <w:trHeight w:val="525" w:hRule="atLeast"/>
        </w:trPr>
        <w:tc>
          <w:tcPr>
            <w:tcW w:w="6970" w:type="dxa"/>
            <w:gridSpan w:val="6"/>
            <w:tcBorders>
              <w:left w:val="single" w:sz="8" w:space="0" w:color="00000A"/>
              <w:bottom w:val="single" w:sz="8" w:space="0" w:color="00000A"/>
            </w:tcBorders>
            <w:shd w:color="auto" w:fill="auto" w:val="clear"/>
            <w:vAlign w:val="center"/>
          </w:tcPr>
          <w:p>
            <w:pPr>
              <w:pStyle w:val="Normal"/>
              <w:widowControl w:val="false"/>
              <w:spacing w:lineRule="auto" w:line="240" w:before="0" w:after="0"/>
              <w:jc w:val="center"/>
              <w:rPr/>
            </w:pPr>
            <w:r>
              <w:rPr>
                <w:rFonts w:eastAsia="Times New Roman" w:cs="Arial"/>
                <w:b/>
                <w:color w:val="000000"/>
                <w:sz w:val="20"/>
                <w:szCs w:val="20"/>
                <w:lang w:eastAsia="pt-BR"/>
              </w:rPr>
              <w:t>VALOR TOTAL</w:t>
            </w:r>
          </w:p>
        </w:tc>
        <w:tc>
          <w:tcPr>
            <w:tcW w:w="1747" w:type="dxa"/>
            <w:gridSpan w:val="2"/>
            <w:tcBorders>
              <w:left w:val="single" w:sz="8" w:space="0" w:color="00000A"/>
              <w:bottom w:val="single" w:sz="8" w:space="0" w:color="00000A"/>
              <w:right w:val="single" w:sz="8" w:space="0" w:color="000001"/>
            </w:tcBorders>
            <w:shd w:color="auto" w:fill="auto" w:val="clear"/>
            <w:vAlign w:val="center"/>
          </w:tcPr>
          <w:p>
            <w:pPr>
              <w:pStyle w:val="Normal"/>
              <w:widowControl w:val="false"/>
              <w:spacing w:lineRule="auto" w:line="240" w:before="0" w:after="0"/>
              <w:jc w:val="center"/>
              <w:rPr>
                <w:b/>
                <w:b/>
                <w:bCs/>
              </w:rPr>
            </w:pPr>
            <w:r>
              <w:rPr>
                <w:rFonts w:eastAsia="Times New Roman" w:cs="Arial"/>
                <w:b/>
                <w:bCs/>
                <w:color w:val="000000"/>
                <w:sz w:val="20"/>
                <w:szCs w:val="20"/>
                <w:lang w:eastAsia="pt-BR"/>
              </w:rPr>
              <w:t>R$ 71.063,33</w:t>
            </w:r>
          </w:p>
        </w:tc>
      </w:tr>
    </w:tbl>
    <w:p>
      <w:pPr>
        <w:pStyle w:val="Normal"/>
        <w:widowControl/>
        <w:suppressAutoHyphens w:val="true"/>
        <w:bidi w:val="0"/>
        <w:spacing w:lineRule="auto" w:line="259" w:before="0" w:after="160"/>
        <w:jc w:val="left"/>
        <w:rPr>
          <w:rFonts w:cs="Arial"/>
          <w:b/>
          <w:b/>
          <w:i/>
          <w:i/>
          <w:color w:val="FF0000"/>
          <w:szCs w:val="20"/>
        </w:rPr>
      </w:pPr>
      <w:r>
        <w:rPr>
          <w:rFonts w:cs="Arial"/>
          <w:b/>
          <w:i/>
          <w:color w:val="FF0000"/>
          <w:szCs w:val="20"/>
        </w:rPr>
      </w:r>
    </w:p>
    <w:p>
      <w:pPr>
        <w:pStyle w:val="ListParagraph"/>
        <w:numPr>
          <w:ilvl w:val="1"/>
          <w:numId w:val="1"/>
        </w:numPr>
        <w:spacing w:lineRule="auto" w:line="276" w:before="120" w:after="120"/>
        <w:ind w:left="425" w:hanging="0"/>
        <w:contextualSpacing/>
        <w:jc w:val="both"/>
        <w:rPr>
          <w:shd w:fill="auto" w:val="clear"/>
        </w:rPr>
      </w:pPr>
      <w:r>
        <w:rPr>
          <w:rFonts w:cs="Arial"/>
          <w:i w:val="false"/>
          <w:iCs w:val="false"/>
          <w:strike/>
          <w:color w:val="000000"/>
          <w:szCs w:val="20"/>
          <w:shd w:fill="auto" w:val="clear"/>
        </w:rPr>
        <w:t>Na hipótese de não haver vencedor para a cota reservada, esta poderá ser adjudicada ao vencedor da cota principal ou, diante de sua recusa, aos licitantes remanescentes, desde que pratiquem o preço do primeiro colocado da cota principal. (SUPRESSÃO)</w:t>
      </w:r>
    </w:p>
    <w:p>
      <w:pPr>
        <w:pStyle w:val="ListParagraph"/>
        <w:numPr>
          <w:ilvl w:val="1"/>
          <w:numId w:val="1"/>
        </w:numPr>
        <w:spacing w:lineRule="auto" w:line="276" w:before="120" w:after="120"/>
        <w:ind w:left="425" w:hanging="0"/>
        <w:contextualSpacing/>
        <w:jc w:val="both"/>
        <w:rPr>
          <w:shd w:fill="auto" w:val="clear"/>
        </w:rPr>
      </w:pPr>
      <w:r>
        <w:rPr>
          <w:rFonts w:cs="Arial"/>
          <w:i w:val="false"/>
          <w:iCs w:val="false"/>
          <w:strike/>
          <w:color w:val="000000"/>
          <w:szCs w:val="20"/>
          <w:shd w:fill="auto" w:val="clear"/>
        </w:rPr>
        <w:t>Se a mesma empresa vencer a cota reservada e a cota principal, a contratação das cotas deverá ocorrer pelo menor preço. (SUPRESSÃO)</w:t>
      </w:r>
    </w:p>
    <w:p>
      <w:pPr>
        <w:pStyle w:val="ListParagraph"/>
        <w:numPr>
          <w:ilvl w:val="1"/>
          <w:numId w:val="1"/>
        </w:numPr>
        <w:spacing w:lineRule="auto" w:line="276" w:before="0" w:after="120"/>
        <w:ind w:left="425" w:hanging="0"/>
        <w:contextualSpacing/>
        <w:jc w:val="both"/>
        <w:rPr>
          <w:shd w:fill="auto" w:val="clear"/>
        </w:rPr>
      </w:pPr>
      <w:r>
        <w:rPr>
          <w:rFonts w:cs="Arial"/>
          <w:i w:val="false"/>
          <w:iCs w:val="false"/>
          <w:strike/>
          <w:color w:val="000000"/>
          <w:szCs w:val="20"/>
          <w:shd w:fill="auto" w:val="clear"/>
        </w:rPr>
        <w:t>Será dada a prioridade de aquisição aos produtos das cotas reservadas quando forem adjudicados aos licitantes qualificados como microempresas ou empresas de pequeno porte, ressalvados os casos em que a cota reservada for inadequada para atender as quantidades ou as condições do pedido, conforme vier a ser decidido pela Administração, nos termos do art. 8º, §4º, do Decreto n. 8.538, de 2015. (SUPRESSÃO)</w:t>
      </w:r>
    </w:p>
    <w:p>
      <w:pPr>
        <w:pStyle w:val="ListParagraph"/>
        <w:numPr>
          <w:ilvl w:val="1"/>
          <w:numId w:val="1"/>
        </w:numPr>
        <w:spacing w:lineRule="auto" w:line="276" w:before="120" w:after="120"/>
        <w:contextualSpacing/>
        <w:jc w:val="both"/>
        <w:rPr>
          <w:rFonts w:cs="Arial"/>
          <w:color w:val="000000"/>
          <w:szCs w:val="20"/>
        </w:rPr>
      </w:pPr>
      <w:r>
        <w:rPr>
          <w:rFonts w:cs="Arial"/>
          <w:bCs/>
          <w:iCs/>
          <w:color w:val="000000"/>
          <w:szCs w:val="20"/>
        </w:rPr>
        <w:t>O prazo de vigência da contratação é de 120 dias contados do ateste do recebimento da Nota de Empenho (NE), prorrogável na forma do art. 57, § 1°, da Lei n° 8.666/93.</w:t>
      </w:r>
      <w:r>
        <w:rPr>
          <w:rFonts w:eastAsia="MyriadPro-Regular" w:cs="Arial"/>
        </w:rPr>
        <w:t xml:space="preserve"> do certame demonstrar, por meio de laudo expedido por laboratório ou instituto idôneo, o desempenho, </w:t>
      </w:r>
      <w:r>
        <w:rPr>
          <w:rFonts w:eastAsia="MyriadPro-Regular" w:cs="Arial"/>
          <w:b w:val="false"/>
          <w:bCs w:val="false"/>
        </w:rPr>
        <w:t>qualidade e produtividade compatível com o produto similar ou equivalente à marca referência mencionada no edital.” Acórdão 2300/2007 Plenário, TCU.</w:t>
      </w:r>
    </w:p>
    <w:p>
      <w:pPr>
        <w:pStyle w:val="ListParagraph"/>
        <w:numPr>
          <w:ilvl w:val="1"/>
          <w:numId w:val="1"/>
        </w:numPr>
        <w:spacing w:lineRule="auto" w:line="276" w:before="120" w:after="120"/>
        <w:contextualSpacing/>
        <w:jc w:val="both"/>
        <w:rPr>
          <w:b/>
          <w:b/>
          <w:bCs/>
        </w:rPr>
      </w:pPr>
      <w:r>
        <w:rPr>
          <w:rFonts w:cs="Arial"/>
          <w:b/>
          <w:bCs/>
          <w:iCs/>
          <w:szCs w:val="20"/>
          <w:u w:val="single"/>
        </w:rPr>
        <w:t>No que diz respeito aos critérios de sustentabilidade e observando o que é exposto no Anexo I da Instrução Normativa IBAMA n° 06, de 15 de março de 2013, é possível afirmar que para os itens do presente objeto não foram encontrados argumentos técnicos suficientes para enquadrá-los em alguma Ficha Técnica, e assim, a obrigação de inscrição no Cadastro Técnico Federal de Atividades Potencialmente Poluidoras e Utilizadoras de Recursos Ambientais (CTF/APP) por parte do Fabricante não se faz necessária.</w:t>
      </w:r>
    </w:p>
    <w:p>
      <w:pPr>
        <w:pStyle w:val="ListParagraph"/>
        <w:numPr>
          <w:ilvl w:val="1"/>
          <w:numId w:val="1"/>
        </w:numPr>
        <w:spacing w:lineRule="auto" w:line="276" w:before="120" w:after="120"/>
        <w:contextualSpacing/>
        <w:jc w:val="both"/>
        <w:rPr>
          <w:rFonts w:cs="Arial"/>
          <w:color w:val="000000"/>
          <w:szCs w:val="20"/>
        </w:rPr>
      </w:pPr>
      <w:r>
        <w:rPr>
          <w:rFonts w:cs="Arial"/>
          <w:b/>
          <w:iCs/>
          <w:szCs w:val="20"/>
          <w:u w:val="single"/>
        </w:rPr>
        <w:t xml:space="preserve">1.7. Além disso, tomando-se por base a </w:t>
      </w:r>
      <w:r>
        <w:rPr>
          <w:rFonts w:cs="Arial"/>
          <w:b/>
          <w:szCs w:val="20"/>
          <w:u w:val="single"/>
        </w:rPr>
        <w:t>IN SLTI/MPOG n° 01/2010, determina-se para todos os itens:</w:t>
      </w:r>
    </w:p>
    <w:p>
      <w:pPr>
        <w:pStyle w:val="Normal"/>
        <w:numPr>
          <w:ilvl w:val="0"/>
          <w:numId w:val="0"/>
        </w:numPr>
        <w:spacing w:lineRule="auto" w:line="276" w:before="120" w:after="120"/>
        <w:ind w:left="1290" w:hanging="0"/>
        <w:jc w:val="both"/>
        <w:rPr>
          <w:strike w:val="false"/>
          <w:dstrike w:val="false"/>
        </w:rPr>
      </w:pPr>
      <w:r>
        <w:rPr>
          <w:rFonts w:cs="Arial"/>
          <w:b/>
          <w:szCs w:val="20"/>
          <w:u w:val="single"/>
        </w:rPr>
        <w:t>1.7.1 que os bens sejam, preferencialmente, acondicionados em embalagem individual adequada, com o menor volume possível, e que utilize materiais recicláveis, de forma a garantir a máxima proteção durante o transporte e o armazenamento;</w:t>
      </w:r>
    </w:p>
    <w:p>
      <w:pPr>
        <w:pStyle w:val="Normal"/>
        <w:numPr>
          <w:ilvl w:val="0"/>
          <w:numId w:val="0"/>
        </w:numPr>
        <w:spacing w:lineRule="auto" w:line="276" w:before="120" w:after="120"/>
        <w:ind w:left="1290" w:hanging="0"/>
        <w:jc w:val="both"/>
        <w:rPr>
          <w:strike w:val="false"/>
          <w:dstrike w:val="false"/>
        </w:rPr>
      </w:pPr>
      <w:r>
        <w:rPr>
          <w:rFonts w:eastAsia="MyriadPro-Regular" w:cs="Arial"/>
          <w:b/>
          <w:bCs/>
          <w:szCs w:val="20"/>
          <w:u w:val="single"/>
        </w:rPr>
        <w:t>1.7.2. que os bens não contenham substâncias perigosas em concentração acima da recomendada na diretiva RoHS (</w:t>
      </w:r>
      <w:r>
        <w:rPr>
          <w:rFonts w:eastAsia="MyriadPro-Regular" w:cs="Arial"/>
          <w:b/>
          <w:bCs/>
          <w:i/>
          <w:szCs w:val="20"/>
          <w:u w:val="single"/>
        </w:rPr>
        <w:t>Restriction of Certain Hazardous Substances</w:t>
      </w:r>
      <w:r>
        <w:rPr>
          <w:rFonts w:eastAsia="MyriadPro-Regular" w:cs="Arial"/>
          <w:b/>
          <w:bCs/>
          <w:szCs w:val="20"/>
          <w:u w:val="single"/>
        </w:rPr>
        <w:t>), tais como mercúrio (Hg), chumbo (Pb), cromo hexavalente (Cr(VI)), cádmio (Cd), bifenil-polibromados (PBBs), éteres difenil-polibromados (PBDEs).</w:t>
      </w:r>
    </w:p>
    <w:p>
      <w:pPr>
        <w:pStyle w:val="Nivel1"/>
        <w:numPr>
          <w:ilvl w:val="0"/>
          <w:numId w:val="1"/>
        </w:numPr>
        <w:rPr/>
      </w:pPr>
      <w:r>
        <w:rPr/>
        <w:t>JUSTIFICATIVA E OBJETIVO DA CONTRATAÇÃO</w:t>
      </w:r>
    </w:p>
    <w:p>
      <w:pPr>
        <w:pStyle w:val="Normal"/>
        <w:numPr>
          <w:ilvl w:val="1"/>
          <w:numId w:val="1"/>
        </w:numPr>
        <w:spacing w:lineRule="auto" w:line="276" w:before="120" w:after="120"/>
        <w:jc w:val="both"/>
        <w:rPr>
          <w:rFonts w:cs="Arial"/>
          <w:color w:val="000000"/>
          <w:szCs w:val="20"/>
        </w:rPr>
      </w:pPr>
      <w:r>
        <w:rPr/>
        <w:t>A Justificativa e o objetivo da contratação encontram-se pormenorizadas em Tópico específico dos Estudos Técnicos Preliminares, apêndice deste Termo de Referência.</w:t>
      </w:r>
    </w:p>
    <w:p>
      <w:pPr>
        <w:pStyle w:val="Nivel1"/>
        <w:numPr>
          <w:ilvl w:val="0"/>
          <w:numId w:val="1"/>
        </w:numPr>
        <w:rPr>
          <w:rFonts w:cs="Times New Roman" w:cstheme="majorBidi"/>
          <w:szCs w:val="32"/>
        </w:rPr>
      </w:pPr>
      <w:r>
        <w:rPr/>
        <w:t>DESCRIÇÃO DA SOLUÇÃO:</w:t>
      </w:r>
    </w:p>
    <w:p>
      <w:pPr>
        <w:pStyle w:val="Normal"/>
        <w:numPr>
          <w:ilvl w:val="1"/>
          <w:numId w:val="26"/>
        </w:numPr>
        <w:spacing w:lineRule="auto" w:line="276" w:before="120" w:after="120"/>
        <w:ind w:left="425" w:hanging="0"/>
        <w:jc w:val="both"/>
        <w:rPr/>
      </w:pPr>
      <w:r>
        <w:rPr/>
        <w:t xml:space="preserve">A descrição da solução como um todo, encontra-se pormenorizada em Tópico específico </w:t>
      </w:r>
      <w:r>
        <w:rPr>
          <w:rFonts w:cs="Arial"/>
          <w:szCs w:val="20"/>
        </w:rPr>
        <w:t>dos</w:t>
      </w:r>
      <w:r>
        <w:rPr/>
        <w:t xml:space="preserve"> Estudos Técnicos Preliminares, apêndice deste Termo de Referência.</w:t>
      </w:r>
    </w:p>
    <w:p>
      <w:pPr>
        <w:pStyle w:val="Nivel1"/>
        <w:numPr>
          <w:ilvl w:val="0"/>
          <w:numId w:val="1"/>
        </w:numPr>
        <w:rPr/>
      </w:pPr>
      <w:r>
        <w:rPr/>
        <w:t>CLASSIFICAÇÃO DOS BENS COMUNS</w:t>
      </w:r>
    </w:p>
    <w:p>
      <w:pPr>
        <w:pStyle w:val="Normal"/>
        <w:numPr>
          <w:ilvl w:val="1"/>
          <w:numId w:val="1"/>
        </w:numPr>
        <w:spacing w:lineRule="auto" w:line="276" w:before="120" w:after="120"/>
        <w:ind w:left="425" w:hanging="0"/>
        <w:jc w:val="both"/>
        <w:rPr>
          <w:rFonts w:cs="Arial"/>
          <w:b/>
          <w:b/>
          <w:color w:val="000000"/>
          <w:szCs w:val="20"/>
        </w:rPr>
      </w:pPr>
      <w:r>
        <w:rPr>
          <w:rFonts w:cs="Arial"/>
          <w:iCs/>
          <w:szCs w:val="20"/>
        </w:rPr>
        <w:t>Trata-se de aquisição de bem comum, a</w:t>
      </w:r>
      <w:r>
        <w:rPr>
          <w:rFonts w:cs="Arial"/>
          <w:iCs/>
          <w:szCs w:val="20"/>
          <w:shd w:fill="auto" w:val="clear"/>
        </w:rPr>
        <w:t xml:space="preserve"> ser contratada mediante licitação, na modalidade pregão, em sua forma eletrônica</w:t>
      </w:r>
      <w:r>
        <w:rPr>
          <w:rFonts w:cs="Arial"/>
          <w:bCs/>
          <w:color w:val="000000"/>
          <w:szCs w:val="20"/>
          <w:shd w:fill="auto" w:val="clear"/>
        </w:rPr>
        <w:t>.</w:t>
      </w:r>
    </w:p>
    <w:p>
      <w:pPr>
        <w:pStyle w:val="Nivel1"/>
        <w:numPr>
          <w:ilvl w:val="0"/>
          <w:numId w:val="1"/>
        </w:numPr>
        <w:rPr>
          <w:shd w:fill="auto" w:val="clear"/>
        </w:rPr>
      </w:pPr>
      <w:r>
        <w:rPr>
          <w:shd w:fill="auto" w:val="clear"/>
        </w:rPr>
        <w:t>CRITÉRIOS DE SUSTENTABILIDADE</w:t>
      </w:r>
    </w:p>
    <w:p>
      <w:pPr>
        <w:pStyle w:val="Normal"/>
        <w:numPr>
          <w:ilvl w:val="1"/>
          <w:numId w:val="1"/>
        </w:numPr>
        <w:spacing w:lineRule="auto" w:line="276" w:before="120" w:after="120"/>
        <w:jc w:val="both"/>
        <w:rPr>
          <w:i w:val="false"/>
          <w:i w:val="false"/>
          <w:iCs w:val="false"/>
          <w:color w:val="000000"/>
          <w:shd w:fill="auto" w:val="clear"/>
        </w:rPr>
      </w:pPr>
      <w:r>
        <w:rPr>
          <w:i w:val="false"/>
          <w:iCs w:val="false"/>
          <w:color w:val="000000"/>
          <w:shd w:fill="auto" w:val="clear"/>
        </w:rPr>
        <w:t>Os critérios de sustentabilidade são aqueles previstos nas especificações do objeto e/ou obrigações da contratada e/ou no edital como requisito previsto em lei especial</w:t>
      </w:r>
      <w:bookmarkStart w:id="0" w:name="_Hlk69799419"/>
      <w:bookmarkEnd w:id="0"/>
      <w:r>
        <w:rPr>
          <w:i w:val="false"/>
          <w:iCs w:val="false"/>
          <w:color w:val="000000"/>
          <w:shd w:fill="auto" w:val="clear"/>
        </w:rPr>
        <w:t>.</w:t>
      </w:r>
    </w:p>
    <w:p>
      <w:pPr>
        <w:pStyle w:val="Nivel1"/>
        <w:numPr>
          <w:ilvl w:val="0"/>
          <w:numId w:val="1"/>
        </w:numPr>
        <w:rPr/>
      </w:pPr>
      <w:r>
        <w:rPr/>
        <w:t>ENTREGA E CRITÉRIOS DE ACEITAÇÃO DO OBJETO.</w:t>
      </w:r>
    </w:p>
    <w:p>
      <w:pPr>
        <w:pStyle w:val="Normal"/>
        <w:numPr>
          <w:ilvl w:val="1"/>
          <w:numId w:val="1"/>
        </w:numPr>
        <w:spacing w:lineRule="auto" w:line="276" w:before="120" w:after="120"/>
        <w:ind w:left="425" w:hanging="0"/>
        <w:jc w:val="both"/>
        <w:rPr>
          <w:rFonts w:cs="Arial"/>
          <w:b/>
          <w:b/>
          <w:bCs/>
          <w:color w:val="000000"/>
          <w:szCs w:val="20"/>
        </w:rPr>
      </w:pPr>
      <w:r>
        <w:rPr>
          <w:rFonts w:cs="Arial"/>
          <w:iCs/>
          <w:color w:val="000000"/>
          <w:szCs w:val="20"/>
        </w:rPr>
        <w:t xml:space="preserve">O prazo de entrega do objeto é de 30 (trinta) dias, contados do recebimento da Nota de Empenho pelo fornecedor, em remessa única, no seguinte endereço: Rodovia Marechal Rondon, km 29, s/n, Centro, Barueri – SP. </w:t>
      </w:r>
    </w:p>
    <w:p>
      <w:pPr>
        <w:pStyle w:val="Normal"/>
        <w:numPr>
          <w:ilvl w:val="1"/>
          <w:numId w:val="1"/>
        </w:numPr>
        <w:spacing w:lineRule="auto" w:line="276" w:before="120" w:after="120"/>
        <w:ind w:left="425" w:hanging="0"/>
        <w:jc w:val="both"/>
        <w:rPr>
          <w:shd w:fill="auto" w:val="clear"/>
        </w:rPr>
      </w:pPr>
      <w:r>
        <w:rPr>
          <w:rFonts w:cs="Arial"/>
          <w:bCs/>
          <w:strike/>
          <w:color w:val="000000"/>
          <w:szCs w:val="20"/>
          <w:shd w:fill="auto" w:val="clear"/>
        </w:rPr>
        <w:t>No caso de produtos perecíveis, o prazo de validade na data da entrega não poderá ser inferior a ...... (......) (dias ou meses ou anos), ou a (metade, um terço, dois terços etc.) do prazo total recomendado pelo fabricante. (SUPRESSÃO)</w:t>
      </w:r>
    </w:p>
    <w:p>
      <w:pPr>
        <w:pStyle w:val="Normal"/>
        <w:numPr>
          <w:ilvl w:val="1"/>
          <w:numId w:val="1"/>
        </w:numPr>
        <w:spacing w:lineRule="auto" w:line="276" w:before="120" w:after="120"/>
        <w:ind w:left="425" w:hanging="0"/>
        <w:jc w:val="both"/>
        <w:rPr>
          <w:rFonts w:cs="Arial"/>
          <w:b/>
          <w:b/>
          <w:bCs/>
          <w:color w:val="000000"/>
          <w:szCs w:val="20"/>
        </w:rPr>
      </w:pPr>
      <w:r>
        <w:rPr>
          <w:rFonts w:cs="Arial"/>
          <w:color w:val="000000"/>
          <w:szCs w:val="20"/>
        </w:rPr>
        <w:t xml:space="preserve">Os bens serão recebidos provisoriamente no prazo de 30 (trinta) dias, pelo(a) </w:t>
      </w:r>
      <w:r>
        <w:rPr>
          <w:rFonts w:cs="Arial"/>
          <w:iCs/>
          <w:color w:val="000000"/>
          <w:szCs w:val="20"/>
        </w:rPr>
        <w:t>responsável</w:t>
      </w:r>
      <w:r>
        <w:rPr>
          <w:rFonts w:cs="Arial"/>
          <w:color w:val="000000"/>
          <w:szCs w:val="20"/>
        </w:rPr>
        <w:t xml:space="preserve"> pelo acompanhamento e fiscalização do contrato, para efeito de posterior verificação de sua conformidade com as especificações constantes neste Termo de Referência e na proposta. </w:t>
      </w:r>
    </w:p>
    <w:p>
      <w:pPr>
        <w:pStyle w:val="Normal"/>
        <w:numPr>
          <w:ilvl w:val="1"/>
          <w:numId w:val="1"/>
        </w:numPr>
        <w:spacing w:lineRule="auto" w:line="276" w:before="120" w:after="120"/>
        <w:ind w:left="425" w:hanging="0"/>
        <w:jc w:val="both"/>
        <w:rPr>
          <w:rFonts w:cs="Arial"/>
          <w:bCs/>
          <w:color w:val="000000"/>
          <w:szCs w:val="20"/>
        </w:rPr>
      </w:pPr>
      <w:r>
        <w:rPr>
          <w:rFonts w:cs="Arial"/>
          <w:bCs/>
          <w:color w:val="000000"/>
          <w:szCs w:val="20"/>
        </w:rPr>
        <w:t>Os bens poderão ser rejeitados, no todo ou em parte, quando em desacordo com as especificações constantes neste Termo de Referência e na proposta, devendo ser substituídos no prazo de 20 (vinte) dias, a contar da notificação da contratada, às suas custas, sem prejuízo da aplicação das penalidades.</w:t>
      </w:r>
    </w:p>
    <w:p>
      <w:pPr>
        <w:pStyle w:val="Normal"/>
        <w:numPr>
          <w:ilvl w:val="1"/>
          <w:numId w:val="1"/>
        </w:numPr>
        <w:spacing w:lineRule="auto" w:line="276" w:before="120" w:after="120"/>
        <w:ind w:left="425" w:hanging="0"/>
        <w:jc w:val="both"/>
        <w:rPr>
          <w:rFonts w:cs="Arial"/>
          <w:bCs/>
          <w:color w:val="000000"/>
          <w:szCs w:val="20"/>
        </w:rPr>
      </w:pPr>
      <w:r>
        <w:rPr>
          <w:rFonts w:cs="Arial"/>
          <w:color w:val="000000"/>
          <w:szCs w:val="20"/>
        </w:rPr>
        <w:t>Os bens serão recebidos definitivamente no prazo de 30 (trinta) dias, contados do recebimento provisório, após a verificação da qualidade e quantidade do material e consequente aceitação mediante termo circunstanciado.</w:t>
      </w:r>
    </w:p>
    <w:p>
      <w:pPr>
        <w:pStyle w:val="Normal"/>
        <w:numPr>
          <w:ilvl w:val="2"/>
          <w:numId w:val="1"/>
        </w:numPr>
        <w:spacing w:lineRule="auto" w:line="276" w:before="120" w:after="120"/>
        <w:ind w:left="1134" w:hanging="0"/>
        <w:jc w:val="both"/>
        <w:rPr>
          <w:rFonts w:cs="Arial"/>
          <w:b/>
          <w:b/>
          <w:bCs/>
          <w:color w:val="000000"/>
          <w:szCs w:val="20"/>
        </w:rPr>
      </w:pPr>
      <w:r>
        <w:rPr>
          <w:rFonts w:cs="Arial"/>
          <w:color w:val="000000"/>
          <w:szCs w:val="20"/>
          <w:lang w:eastAsia="en-US"/>
        </w:rPr>
        <w:t>Na hipótese de a verificação a que se refere o subitem anterior não ser procedida dentro do prazo fixado, reputar-se-á como realizada, consumando-se o recebimento definitivo no dia do esgotamento do prazo.</w:t>
      </w:r>
    </w:p>
    <w:p>
      <w:pPr>
        <w:pStyle w:val="Normal"/>
        <w:numPr>
          <w:ilvl w:val="1"/>
          <w:numId w:val="1"/>
        </w:numPr>
        <w:spacing w:lineRule="auto" w:line="276" w:before="120" w:after="120"/>
        <w:ind w:left="425" w:hanging="0"/>
        <w:jc w:val="both"/>
        <w:rPr>
          <w:rFonts w:cs="Arial"/>
          <w:color w:val="000000"/>
          <w:szCs w:val="20"/>
        </w:rPr>
      </w:pPr>
      <w:r>
        <w:rPr>
          <w:rFonts w:cs="Arial"/>
          <w:color w:val="000000"/>
          <w:szCs w:val="20"/>
          <w:lang w:eastAsia="en-US"/>
        </w:rPr>
        <w:t>O recebimento provisório ou definitivo do objeto não exclui a responsabilidade da contratada pelos prejuízos resultantes da incorreta execução do contrato.</w:t>
      </w:r>
    </w:p>
    <w:p>
      <w:pPr>
        <w:pStyle w:val="Nivel1"/>
        <w:numPr>
          <w:ilvl w:val="0"/>
          <w:numId w:val="1"/>
        </w:numPr>
        <w:rPr/>
      </w:pPr>
      <w:r>
        <w:rPr>
          <w:lang w:eastAsia="en-US"/>
        </w:rPr>
        <w:t>OBRIGAÇÕES DA CONTRATANTE</w:t>
      </w:r>
    </w:p>
    <w:p>
      <w:pPr>
        <w:pStyle w:val="Normal"/>
        <w:numPr>
          <w:ilvl w:val="1"/>
          <w:numId w:val="1"/>
        </w:numPr>
        <w:spacing w:lineRule="auto" w:line="276" w:before="120" w:after="120"/>
        <w:ind w:left="425" w:hanging="0"/>
        <w:jc w:val="both"/>
        <w:rPr>
          <w:rFonts w:cs="Arial"/>
          <w:b/>
          <w:b/>
          <w:color w:val="000000"/>
          <w:szCs w:val="20"/>
        </w:rPr>
      </w:pPr>
      <w:r>
        <w:rPr>
          <w:rFonts w:cs="Arial"/>
          <w:szCs w:val="20"/>
        </w:rPr>
        <w:t>São obrigações da Contratante:</w:t>
      </w:r>
    </w:p>
    <w:p>
      <w:pPr>
        <w:pStyle w:val="Normal"/>
        <w:numPr>
          <w:ilvl w:val="2"/>
          <w:numId w:val="1"/>
        </w:numPr>
        <w:spacing w:lineRule="auto" w:line="276" w:before="120" w:after="120"/>
        <w:ind w:left="1134" w:hanging="0"/>
        <w:jc w:val="both"/>
        <w:rPr>
          <w:rFonts w:cs="Arial"/>
          <w:b/>
          <w:b/>
          <w:color w:val="000000"/>
          <w:szCs w:val="20"/>
        </w:rPr>
      </w:pPr>
      <w:r>
        <w:rPr>
          <w:rFonts w:cs="Arial"/>
          <w:szCs w:val="20"/>
        </w:rPr>
        <w:t>receber o objeto no prazo e condições estabelecidas no Edital e seus anexos;</w:t>
      </w:r>
    </w:p>
    <w:p>
      <w:pPr>
        <w:pStyle w:val="Normal"/>
        <w:numPr>
          <w:ilvl w:val="2"/>
          <w:numId w:val="1"/>
        </w:numPr>
        <w:spacing w:lineRule="auto" w:line="276" w:before="120" w:after="120"/>
        <w:ind w:left="1134" w:hanging="0"/>
        <w:jc w:val="both"/>
        <w:rPr>
          <w:rFonts w:cs="Arial"/>
          <w:b/>
          <w:b/>
          <w:color w:val="000000"/>
          <w:szCs w:val="20"/>
        </w:rPr>
      </w:pPr>
      <w:r>
        <w:rPr>
          <w:rFonts w:cs="Arial"/>
          <w:szCs w:val="20"/>
          <w:lang w:eastAsia="en-US"/>
        </w:rPr>
        <w:t>verificar minuciosamente, no prazo fixado, a conformidade dos bens recebidos provisoriamente com as especificações constantes do Edital e da proposta, para fins de aceitação e recebimento definitivo;</w:t>
      </w:r>
    </w:p>
    <w:p>
      <w:pPr>
        <w:pStyle w:val="Normal"/>
        <w:numPr>
          <w:ilvl w:val="2"/>
          <w:numId w:val="1"/>
        </w:numPr>
        <w:spacing w:lineRule="auto" w:line="276" w:before="120" w:after="120"/>
        <w:ind w:left="1134" w:hanging="0"/>
        <w:jc w:val="both"/>
        <w:rPr>
          <w:rFonts w:cs="Arial"/>
          <w:b/>
          <w:b/>
          <w:color w:val="000000"/>
          <w:szCs w:val="20"/>
        </w:rPr>
      </w:pPr>
      <w:r>
        <w:rPr>
          <w:rFonts w:cs="Arial"/>
          <w:szCs w:val="20"/>
        </w:rPr>
        <w:t>comunicar à Contratada, por escrito, sobre imperfeições, falhas ou irregularidades verificadas no objeto fornecido, para que seja substituído, reparado ou corrigido;</w:t>
      </w:r>
    </w:p>
    <w:p>
      <w:pPr>
        <w:pStyle w:val="Normal"/>
        <w:numPr>
          <w:ilvl w:val="2"/>
          <w:numId w:val="1"/>
        </w:numPr>
        <w:spacing w:lineRule="auto" w:line="276" w:before="120" w:after="120"/>
        <w:ind w:left="1134" w:hanging="0"/>
        <w:jc w:val="both"/>
        <w:rPr>
          <w:rFonts w:cs="Arial"/>
          <w:b/>
          <w:b/>
          <w:color w:val="000000"/>
          <w:szCs w:val="20"/>
        </w:rPr>
      </w:pPr>
      <w:r>
        <w:rPr>
          <w:rFonts w:cs="Arial"/>
          <w:szCs w:val="20"/>
          <w:lang w:eastAsia="en-US"/>
        </w:rPr>
        <w:t>acompanhar e fiscalizar o cumprimento das obrigações da Contratada, através de comissão/servidor especialmente designado;</w:t>
      </w:r>
    </w:p>
    <w:p>
      <w:pPr>
        <w:pStyle w:val="Normal"/>
        <w:numPr>
          <w:ilvl w:val="2"/>
          <w:numId w:val="1"/>
        </w:numPr>
        <w:spacing w:lineRule="auto" w:line="276" w:before="120" w:after="120"/>
        <w:ind w:left="1134" w:hanging="0"/>
        <w:jc w:val="both"/>
        <w:rPr>
          <w:rFonts w:cs="Arial"/>
          <w:b/>
          <w:b/>
          <w:color w:val="000000"/>
          <w:szCs w:val="20"/>
        </w:rPr>
      </w:pPr>
      <w:r>
        <w:rPr>
          <w:rFonts w:cs="Arial"/>
          <w:szCs w:val="20"/>
        </w:rPr>
        <w:t>efetuar o pagamento à Contratada</w:t>
      </w:r>
      <w:r>
        <w:rPr>
          <w:rFonts w:cs="Arial"/>
          <w:b/>
          <w:szCs w:val="20"/>
        </w:rPr>
        <w:t xml:space="preserve"> </w:t>
      </w:r>
      <w:r>
        <w:rPr>
          <w:rFonts w:cs="Arial"/>
          <w:szCs w:val="20"/>
        </w:rPr>
        <w:t>no valor correspondente ao fornecimento do objeto, no prazo e forma estabelecidos no Edital e seus anexos;</w:t>
      </w:r>
    </w:p>
    <w:p>
      <w:pPr>
        <w:pStyle w:val="Normal"/>
        <w:numPr>
          <w:ilvl w:val="1"/>
          <w:numId w:val="1"/>
        </w:numPr>
        <w:spacing w:lineRule="auto" w:line="276" w:before="120" w:after="120"/>
        <w:ind w:left="425" w:hanging="0"/>
        <w:jc w:val="both"/>
        <w:rPr>
          <w:rFonts w:cs="Arial"/>
          <w:b/>
          <w:b/>
          <w:color w:val="000000"/>
          <w:szCs w:val="20"/>
        </w:rPr>
      </w:pPr>
      <w:r>
        <w:rPr>
          <w:rFonts w:cs="Arial"/>
          <w:szCs w:val="20"/>
        </w:rPr>
        <w:t>A Administração não responderá por quaisquer compromissos assumidos pela Contratada com terceiros, ainda que vinculados à execução do contrato, bem como por qualquer dano causado a terceiros em decorrência de ato da Contratada, de seus empregados, prepostos ou subordinados.</w:t>
      </w:r>
    </w:p>
    <w:p>
      <w:pPr>
        <w:pStyle w:val="Nivel1"/>
        <w:numPr>
          <w:ilvl w:val="0"/>
          <w:numId w:val="1"/>
        </w:numPr>
        <w:rPr/>
      </w:pPr>
      <w:r>
        <w:rPr/>
        <w:t>OBRIGAÇÕES DA CONTRATADA</w:t>
      </w:r>
    </w:p>
    <w:p>
      <w:pPr>
        <w:pStyle w:val="Normal"/>
        <w:numPr>
          <w:ilvl w:val="1"/>
          <w:numId w:val="1"/>
        </w:numPr>
        <w:spacing w:lineRule="auto" w:line="276" w:before="120" w:after="120"/>
        <w:ind w:left="425" w:hanging="0"/>
        <w:jc w:val="both"/>
        <w:rPr>
          <w:rFonts w:cs="Arial"/>
          <w:b/>
          <w:b/>
          <w:color w:val="000000"/>
          <w:szCs w:val="20"/>
        </w:rPr>
      </w:pPr>
      <w:r>
        <w:rPr>
          <w:rFonts w:cs="Arial"/>
          <w:szCs w:val="20"/>
        </w:rPr>
        <w:t>A Contratada deve cumprir todas as obrigações constantes no Edital, seus anexos e sua proposta, assumindo como exclusivamente seus os riscos e as despesas decorrentes da boa e perfeita execução do objeto e, ainda:</w:t>
      </w:r>
    </w:p>
    <w:p>
      <w:pPr>
        <w:pStyle w:val="Normal"/>
        <w:numPr>
          <w:ilvl w:val="2"/>
          <w:numId w:val="1"/>
        </w:numPr>
        <w:spacing w:lineRule="auto" w:line="276" w:before="120" w:after="120"/>
        <w:ind w:left="1134" w:hanging="0"/>
        <w:jc w:val="both"/>
        <w:rPr>
          <w:rFonts w:cs="Arial"/>
          <w:b/>
          <w:b/>
          <w:color w:val="000000"/>
          <w:szCs w:val="20"/>
        </w:rPr>
      </w:pPr>
      <w:r>
        <w:rPr>
          <w:rFonts w:cs="Arial"/>
          <w:szCs w:val="20"/>
        </w:rPr>
        <w:t xml:space="preserve">efetuar a entrega do objeto em perfeitas condições, conforme especificações, prazo e local constantes no Termo de Referência e seus anexos, acompanhado da respectiva nota fiscal, na qual constarão as indicações referentes a: </w:t>
      </w:r>
      <w:r>
        <w:rPr>
          <w:rFonts w:cs="Arial"/>
          <w:i w:val="false"/>
          <w:iCs w:val="false"/>
          <w:color w:val="000000"/>
          <w:szCs w:val="20"/>
        </w:rPr>
        <w:t>marca, fabricante, modelo, procedência e prazo de garantia ou validade;</w:t>
      </w:r>
    </w:p>
    <w:p>
      <w:pPr>
        <w:pStyle w:val="Normal"/>
        <w:numPr>
          <w:ilvl w:val="3"/>
          <w:numId w:val="1"/>
        </w:numPr>
        <w:spacing w:lineRule="auto" w:line="276" w:before="120" w:after="120"/>
        <w:ind w:left="1701" w:hanging="0"/>
        <w:jc w:val="both"/>
        <w:rPr>
          <w:i w:val="false"/>
          <w:i w:val="false"/>
          <w:iCs w:val="false"/>
          <w:color w:val="000000"/>
        </w:rPr>
      </w:pPr>
      <w:r>
        <w:rPr>
          <w:rFonts w:cs="Arial"/>
          <w:i w:val="false"/>
          <w:iCs w:val="false"/>
          <w:color w:val="000000"/>
          <w:szCs w:val="20"/>
        </w:rPr>
        <w:t xml:space="preserve">O objeto deve estar acompanhado do manual do usuário, com uma </w:t>
      </w:r>
      <w:r>
        <w:rPr>
          <w:rFonts w:cs="Arial"/>
          <w:bCs/>
          <w:i w:val="false"/>
          <w:iCs w:val="false"/>
          <w:color w:val="000000"/>
          <w:szCs w:val="20"/>
          <w:lang w:eastAsia="en-US"/>
        </w:rPr>
        <w:t>versão</w:t>
      </w:r>
      <w:r>
        <w:rPr>
          <w:rFonts w:cs="Arial"/>
          <w:i w:val="false"/>
          <w:iCs w:val="false"/>
          <w:color w:val="000000"/>
          <w:szCs w:val="20"/>
        </w:rPr>
        <w:t xml:space="preserve"> em português e da relação da rede de assistência técnica autorizada;</w:t>
      </w:r>
    </w:p>
    <w:p>
      <w:pPr>
        <w:pStyle w:val="Normal"/>
        <w:numPr>
          <w:ilvl w:val="2"/>
          <w:numId w:val="1"/>
        </w:numPr>
        <w:spacing w:lineRule="auto" w:line="276" w:before="120" w:after="120"/>
        <w:ind w:left="1134" w:hanging="0"/>
        <w:jc w:val="both"/>
        <w:rPr>
          <w:rFonts w:cs="Arial"/>
          <w:szCs w:val="20"/>
        </w:rPr>
      </w:pPr>
      <w:r>
        <w:rPr>
          <w:rFonts w:cs="Arial"/>
          <w:szCs w:val="20"/>
        </w:rPr>
        <w:t>responsabilizar-se pelos vícios e danos decorrentes do objeto, de acordo com os artigos 12, 13 e 17 a 27, do Código de Defesa do Consumidor (Lei nº 8.078, de 1990);</w:t>
      </w:r>
    </w:p>
    <w:p>
      <w:pPr>
        <w:pStyle w:val="Normal"/>
        <w:numPr>
          <w:ilvl w:val="2"/>
          <w:numId w:val="1"/>
        </w:numPr>
        <w:spacing w:lineRule="auto" w:line="276" w:before="120" w:after="120"/>
        <w:ind w:left="1134" w:hanging="0"/>
        <w:jc w:val="both"/>
        <w:rPr>
          <w:rFonts w:cs="Arial"/>
          <w:szCs w:val="20"/>
        </w:rPr>
      </w:pPr>
      <w:r>
        <w:rPr>
          <w:rFonts w:cs="Arial"/>
          <w:szCs w:val="20"/>
        </w:rPr>
        <w:t>substituir, reparar ou corrigir, às suas expensas, no prazo fixado neste Termo de Referência, o objeto com avarias ou defeitos;</w:t>
      </w:r>
    </w:p>
    <w:p>
      <w:pPr>
        <w:pStyle w:val="Normal"/>
        <w:numPr>
          <w:ilvl w:val="2"/>
          <w:numId w:val="1"/>
        </w:numPr>
        <w:spacing w:lineRule="auto" w:line="276" w:before="120" w:after="120"/>
        <w:ind w:left="1134" w:hanging="0"/>
        <w:jc w:val="both"/>
        <w:rPr>
          <w:rFonts w:cs="Arial"/>
          <w:szCs w:val="20"/>
        </w:rPr>
      </w:pPr>
      <w:r>
        <w:rPr>
          <w:rFonts w:cs="Arial"/>
          <w:szCs w:val="20"/>
        </w:rPr>
        <w:t>comunicar à Contratante, no prazo máximo de 24 (vinte e quatro) horas que antecede a data da entrega, os motivos que impossibilitem o cumprimento do prazo previsto, com a devida comprovação;</w:t>
      </w:r>
    </w:p>
    <w:p>
      <w:pPr>
        <w:pStyle w:val="Normal"/>
        <w:numPr>
          <w:ilvl w:val="2"/>
          <w:numId w:val="1"/>
        </w:numPr>
        <w:spacing w:lineRule="auto" w:line="276" w:before="120" w:after="120"/>
        <w:ind w:left="1134" w:hanging="0"/>
        <w:jc w:val="both"/>
        <w:rPr>
          <w:rFonts w:cs="Arial"/>
          <w:szCs w:val="20"/>
        </w:rPr>
      </w:pPr>
      <w:r>
        <w:rPr>
          <w:rFonts w:cs="Arial"/>
          <w:szCs w:val="20"/>
        </w:rPr>
        <w:t>manter, durante toda a execução do contrato, em compatibilidade com as obrigações assumidas, todas as condições de habilitação e qualificação exigidas na licitação;</w:t>
      </w:r>
    </w:p>
    <w:p>
      <w:pPr>
        <w:pStyle w:val="Normal"/>
        <w:numPr>
          <w:ilvl w:val="2"/>
          <w:numId w:val="1"/>
        </w:numPr>
        <w:spacing w:lineRule="auto" w:line="276" w:before="120" w:after="120"/>
        <w:ind w:left="1134" w:hanging="0"/>
        <w:jc w:val="both"/>
        <w:rPr>
          <w:rFonts w:cs="Arial"/>
          <w:szCs w:val="20"/>
        </w:rPr>
      </w:pPr>
      <w:r>
        <w:rPr>
          <w:rFonts w:cs="Arial"/>
          <w:szCs w:val="20"/>
        </w:rPr>
        <w:t>indicar preposto para representá-la durante a execução do contrato.</w:t>
      </w:r>
    </w:p>
    <w:p>
      <w:pPr>
        <w:pStyle w:val="Normal"/>
        <w:numPr>
          <w:ilvl w:val="2"/>
          <w:numId w:val="1"/>
        </w:numPr>
        <w:spacing w:lineRule="auto" w:line="276" w:before="120" w:after="120"/>
        <w:ind w:left="1134" w:hanging="0"/>
        <w:jc w:val="both"/>
        <w:rPr>
          <w:rFonts w:cs="Arial"/>
          <w:szCs w:val="20"/>
        </w:rPr>
      </w:pPr>
      <w:r>
        <w:rPr>
          <w:rFonts w:cs="Arial"/>
          <w:szCs w:val="20"/>
        </w:rPr>
        <w:t>promover a destinação final ambientalmente adequada, sempre que a legislação assim o exigir, como nos casos de pneus, pilhas e baterias, etc....</w:t>
      </w:r>
    </w:p>
    <w:p>
      <w:pPr>
        <w:pStyle w:val="Normal"/>
        <w:numPr>
          <w:ilvl w:val="1"/>
          <w:numId w:val="1"/>
        </w:numPr>
        <w:spacing w:lineRule="auto" w:line="276" w:before="120" w:after="120"/>
        <w:ind w:left="425" w:hanging="0"/>
        <w:jc w:val="both"/>
        <w:rPr>
          <w:rFonts w:cs="Arial"/>
          <w:iCs/>
          <w:szCs w:val="20"/>
        </w:rPr>
      </w:pPr>
      <w:r>
        <w:rPr>
          <w:rFonts w:cs="Arial"/>
          <w:iCs/>
          <w:szCs w:val="20"/>
        </w:rPr>
        <w:t>Quando não for possível a verificação da regularidade no Sistema de Cadastro de Fornecedores – SICAF, a empresa contratada deverá entregar ao setor responsável pela fiscalização do contrato, até o dia trinta do mês seguinte ao da prestação dos serviços, os seguintes documentos: 1) prova de regularidade relativa à Seguridade Social; 2) certidão conjunta relativa aos tributos federais e à Dívida Ativa da União; 3) certidões que comprovem a regularidade perante a Fazenda Municipal ou Distrital do domicílio ou sede do contratado; 4) Certidão de Regularidade do FGTS – CRF; e 5) Certidão Negativa de Débitos Trabalhistas – CNDT, conforme alínea "c" do item 10.2 do Anexo VIII-B da IN SEGES/MP n. 5/2017;</w:t>
      </w:r>
    </w:p>
    <w:p>
      <w:pPr>
        <w:pStyle w:val="Nivel1"/>
        <w:numPr>
          <w:ilvl w:val="0"/>
          <w:numId w:val="1"/>
        </w:numPr>
        <w:rPr/>
      </w:pPr>
      <w:r>
        <w:rPr/>
        <w:t>DA SUBCONTRATAÇÃO</w:t>
      </w:r>
    </w:p>
    <w:p>
      <w:pPr>
        <w:pStyle w:val="ListParagraph"/>
        <w:numPr>
          <w:ilvl w:val="1"/>
          <w:numId w:val="1"/>
        </w:numPr>
        <w:spacing w:lineRule="auto" w:line="276" w:before="120" w:after="120"/>
        <w:contextualSpacing/>
        <w:jc w:val="both"/>
        <w:rPr>
          <w:i w:val="false"/>
          <w:i w:val="false"/>
          <w:iCs w:val="false"/>
          <w:color w:val="000000"/>
        </w:rPr>
      </w:pPr>
      <w:r>
        <w:rPr>
          <w:rFonts w:cs="Arial"/>
          <w:i w:val="false"/>
          <w:iCs w:val="false"/>
          <w:color w:val="000000"/>
          <w:szCs w:val="20"/>
        </w:rPr>
        <w:t xml:space="preserve">Não </w:t>
      </w:r>
      <w:r>
        <w:rPr>
          <w:i w:val="false"/>
          <w:iCs w:val="false"/>
          <w:color w:val="000000"/>
          <w:szCs w:val="20"/>
        </w:rPr>
        <w:t>será</w:t>
      </w:r>
      <w:r>
        <w:rPr>
          <w:rFonts w:cs="Arial"/>
          <w:i w:val="false"/>
          <w:iCs w:val="false"/>
          <w:color w:val="000000"/>
          <w:szCs w:val="20"/>
        </w:rPr>
        <w:t xml:space="preserve"> admitida a subcontratação do objeto licitatório.</w:t>
      </w:r>
    </w:p>
    <w:p>
      <w:pPr>
        <w:pStyle w:val="Nivel1"/>
        <w:numPr>
          <w:ilvl w:val="0"/>
          <w:numId w:val="1"/>
        </w:numPr>
        <w:rPr>
          <w:lang w:eastAsia="en-US"/>
        </w:rPr>
      </w:pPr>
      <w:r>
        <w:rPr>
          <w:lang w:eastAsia="en-US"/>
        </w:rPr>
        <w:t>DA ALTERAÇÃO SUBJETIVA</w:t>
      </w:r>
    </w:p>
    <w:p>
      <w:pPr>
        <w:pStyle w:val="Normal"/>
        <w:numPr>
          <w:ilvl w:val="1"/>
          <w:numId w:val="1"/>
        </w:numPr>
        <w:spacing w:lineRule="auto" w:line="276" w:before="120" w:after="120"/>
        <w:ind w:left="425" w:hanging="0"/>
        <w:jc w:val="both"/>
        <w:rPr>
          <w:rFonts w:cs="Arial"/>
          <w:color w:val="0000FF"/>
          <w:szCs w:val="20"/>
          <w:lang w:eastAsia="en-US"/>
        </w:rPr>
      </w:pPr>
      <w:r>
        <w:rPr>
          <w:rFonts w:cs="Arial"/>
          <w:szCs w:val="20"/>
          <w:lang w:eastAsia="en-US"/>
        </w:rPr>
        <w:t>É admissível a fusão, cisão ou incorporação da contratada com/em outra pessoa jurídica, desde que sejam observados pela nova pessoa jurídica todos os requisitos de habilitação exigidos na licitação original; sejam mantidas as demais cláusulas e condições do contrato; não haja prejuízo à execução do objeto pactuado e haja a anuência expressa da Administração à continuidade do contrato.</w:t>
      </w:r>
    </w:p>
    <w:p>
      <w:pPr>
        <w:pStyle w:val="Nivel1"/>
        <w:numPr>
          <w:ilvl w:val="0"/>
          <w:numId w:val="1"/>
        </w:numPr>
        <w:rPr>
          <w:lang w:eastAsia="en-US"/>
        </w:rPr>
      </w:pPr>
      <w:r>
        <w:rPr>
          <w:lang w:eastAsia="en-US"/>
        </w:rPr>
        <w:t xml:space="preserve">DO CONTROLE </w:t>
      </w:r>
      <w:r>
        <w:rPr>
          <w:color w:val="auto"/>
          <w:lang w:eastAsia="en-US"/>
        </w:rPr>
        <w:t xml:space="preserve">E FISCALIZAÇÃO DA </w:t>
      </w:r>
      <w:r>
        <w:rPr>
          <w:lang w:eastAsia="en-US"/>
        </w:rPr>
        <w:t>EXECUÇÃO</w:t>
      </w:r>
    </w:p>
    <w:p>
      <w:pPr>
        <w:pStyle w:val="Normal"/>
        <w:numPr>
          <w:ilvl w:val="1"/>
          <w:numId w:val="1"/>
        </w:numPr>
        <w:spacing w:lineRule="auto" w:line="276" w:before="120" w:after="120"/>
        <w:ind w:left="425" w:hanging="0"/>
        <w:jc w:val="both"/>
        <w:rPr>
          <w:rFonts w:cs="Arial"/>
          <w:bCs/>
          <w:color w:val="000000"/>
          <w:szCs w:val="20"/>
        </w:rPr>
      </w:pPr>
      <w:r>
        <w:rPr>
          <w:rFonts w:cs="Arial"/>
          <w:color w:val="000000"/>
          <w:szCs w:val="20"/>
        </w:rPr>
        <w:t>Nos termos do art. 67 Lei nº 8.666, de 1993, será designado representante para acompanhar e fiscalizar a entrega dos bens, anotando em registro próprio todas as ocorrências relacionadas com a execução e determinando o que for necessário à regularização de falhas ou defeitos observados.</w:t>
      </w:r>
    </w:p>
    <w:p>
      <w:pPr>
        <w:pStyle w:val="Normal"/>
        <w:numPr>
          <w:ilvl w:val="2"/>
          <w:numId w:val="1"/>
        </w:numPr>
        <w:spacing w:lineRule="auto" w:line="276" w:before="120" w:after="120"/>
        <w:ind w:left="1134" w:hanging="0"/>
        <w:jc w:val="both"/>
        <w:rPr>
          <w:shd w:fill="auto" w:val="clear"/>
        </w:rPr>
      </w:pPr>
      <w:r>
        <w:rPr>
          <w:rFonts w:cs="Arial"/>
          <w:color w:val="000000"/>
          <w:szCs w:val="20"/>
          <w:shd w:fill="auto" w:val="clear"/>
          <w:lang w:eastAsia="en-US"/>
        </w:rPr>
        <w:t>O recebimento de material de valor superior a R$ 176.000,00 (cento e setenta e seis mil reais) será confiado a uma comissão de, no mínimo, 3 (três) membros, designados pela autoridade competente.</w:t>
      </w:r>
    </w:p>
    <w:p>
      <w:pPr>
        <w:pStyle w:val="Normal"/>
        <w:numPr>
          <w:ilvl w:val="1"/>
          <w:numId w:val="1"/>
        </w:numPr>
        <w:spacing w:lineRule="auto" w:line="276" w:before="120" w:after="120"/>
        <w:ind w:left="425" w:hanging="0"/>
        <w:jc w:val="both"/>
        <w:rPr>
          <w:rFonts w:cs="Arial"/>
          <w:color w:val="000000"/>
          <w:szCs w:val="20"/>
          <w:lang w:eastAsia="en-US"/>
        </w:rPr>
      </w:pPr>
      <w:r>
        <w:rPr>
          <w:rFonts w:cs="Arial"/>
          <w:color w:val="000000"/>
          <w:szCs w:val="20"/>
          <w:lang w:eastAsia="en-US"/>
        </w:rPr>
        <w:t>A fiscalização de que trata este item não exclui nem reduz a responsabilidade da Contratada, inclusive perante terceiros, por qualquer irregularidade, ainda que resultante de imperfeições técnicas ou vícios redibitórios, e, na ocorrência desta, não implica em corresponsabilidade da Administração ou de seus agentes e prepostos, de conformidade com o art. 70 da Lei nº 8.666, de 1993.</w:t>
      </w:r>
    </w:p>
    <w:p>
      <w:pPr>
        <w:pStyle w:val="Normal"/>
        <w:numPr>
          <w:ilvl w:val="1"/>
          <w:numId w:val="1"/>
        </w:numPr>
        <w:spacing w:lineRule="auto" w:line="276" w:before="120" w:after="120"/>
        <w:ind w:left="425" w:hanging="0"/>
        <w:jc w:val="both"/>
        <w:rPr>
          <w:rFonts w:cs="Arial"/>
          <w:color w:val="000000"/>
          <w:szCs w:val="20"/>
        </w:rPr>
      </w:pPr>
      <w:r>
        <w:rPr>
          <w:rFonts w:cs="Arial"/>
          <w:color w:val="000000"/>
          <w:szCs w:val="20"/>
          <w:lang w:eastAsia="en-US"/>
        </w:rPr>
        <w:t>O representante da Administração anotará em registro próprio todas as ocorrências relacionadas com a execução do contrato, indicando dia, mês e ano, bem como o nome dos funcionários eventualmente envolvidos, determinando o que for necessário à regularização das falhas ou defeitos observados e encaminhando os apontamentos à autoridade competente para as providências cabíveis.</w:t>
      </w:r>
    </w:p>
    <w:p>
      <w:pPr>
        <w:pStyle w:val="Nivel1"/>
        <w:numPr>
          <w:ilvl w:val="0"/>
          <w:numId w:val="1"/>
        </w:numPr>
        <w:rPr/>
      </w:pPr>
      <w:r>
        <w:rPr/>
        <w:t>DO PAGAMENTO</w:t>
      </w:r>
    </w:p>
    <w:p>
      <w:pPr>
        <w:pStyle w:val="ListParagraph"/>
        <w:numPr>
          <w:ilvl w:val="1"/>
          <w:numId w:val="1"/>
        </w:numPr>
        <w:spacing w:lineRule="auto" w:line="276" w:before="120" w:after="120"/>
        <w:contextualSpacing/>
        <w:jc w:val="both"/>
        <w:rPr>
          <w:rFonts w:cs="Arial"/>
          <w:color w:val="000000"/>
          <w:szCs w:val="20"/>
          <w:lang w:eastAsia="en-US"/>
        </w:rPr>
      </w:pPr>
      <w:r>
        <w:rPr>
          <w:rFonts w:cs="Arial"/>
          <w:color w:val="000000"/>
          <w:szCs w:val="20"/>
          <w:lang w:eastAsia="en-US"/>
        </w:rPr>
        <w:t>O pagamento será realizado no prazo máximo de até 30 (trinta)</w:t>
      </w:r>
      <w:r>
        <w:rPr>
          <w:rFonts w:cs="Arial"/>
          <w:color w:val="FF0000"/>
          <w:szCs w:val="20"/>
          <w:lang w:eastAsia="en-US"/>
        </w:rPr>
        <w:t xml:space="preserve"> </w:t>
      </w:r>
      <w:r>
        <w:rPr>
          <w:rFonts w:cs="Arial"/>
          <w:color w:val="000000"/>
          <w:szCs w:val="20"/>
          <w:lang w:eastAsia="en-US"/>
        </w:rPr>
        <w:t xml:space="preserve">dias, contados a partir </w:t>
      </w:r>
      <w:r>
        <w:rPr>
          <w:rFonts w:cs="Arial"/>
          <w:color w:val="000000"/>
          <w:szCs w:val="20"/>
        </w:rPr>
        <w:t xml:space="preserve">do recebimento da Nota Fiscal ou Fatura, </w:t>
      </w:r>
      <w:r>
        <w:rPr>
          <w:rFonts w:cs="Arial"/>
          <w:color w:val="000000"/>
          <w:szCs w:val="20"/>
          <w:lang w:eastAsia="en-US"/>
        </w:rPr>
        <w:t>através de ordem bancária, para crédito em banco, agência e conta corrente indicados pelo contratado.</w:t>
      </w:r>
    </w:p>
    <w:p>
      <w:pPr>
        <w:pStyle w:val="ListParagraph"/>
        <w:numPr>
          <w:ilvl w:val="2"/>
          <w:numId w:val="1"/>
        </w:numPr>
        <w:spacing w:lineRule="auto" w:line="276" w:before="120" w:after="120"/>
        <w:contextualSpacing/>
        <w:jc w:val="both"/>
        <w:rPr>
          <w:rFonts w:cs="Arial"/>
          <w:color w:val="000000"/>
          <w:szCs w:val="20"/>
          <w:lang w:eastAsia="en-US"/>
        </w:rPr>
      </w:pPr>
      <w:r>
        <w:rPr>
          <w:rFonts w:cs="Arial"/>
          <w:szCs w:val="20"/>
          <w:lang w:eastAsia="en-US"/>
        </w:rPr>
        <w:t xml:space="preserve">Os pagamentos decorrentes de despesas cujos valores não ultrapassem o limite </w:t>
      </w:r>
      <w:r>
        <w:rPr>
          <w:rFonts w:cs="Arial"/>
          <w:szCs w:val="20"/>
        </w:rPr>
        <w:t>de que trata o inciso II do art. 24</w:t>
      </w:r>
      <w:r>
        <w:rPr>
          <w:rFonts w:cs="Arial"/>
          <w:szCs w:val="20"/>
          <w:lang w:eastAsia="en-US"/>
        </w:rPr>
        <w:t xml:space="preserve"> da Lei 8.666, de 1993, deverão ser efetuados no prazo de até 5 (cinco) dias úteis, contados da data da apresentação da Nota Fiscal, nos termos do art. 5º, § 3º, da Lei nº 8.666, de 1993</w:t>
      </w:r>
      <w:r>
        <w:rPr>
          <w:rFonts w:cs="Arial"/>
          <w:color w:val="000000"/>
          <w:szCs w:val="20"/>
          <w:lang w:eastAsia="en-US"/>
        </w:rPr>
        <w:t>.</w:t>
      </w:r>
    </w:p>
    <w:p>
      <w:pPr>
        <w:pStyle w:val="ListParagraph"/>
        <w:numPr>
          <w:ilvl w:val="1"/>
          <w:numId w:val="1"/>
        </w:numPr>
        <w:spacing w:lineRule="auto" w:line="276" w:before="120" w:after="120"/>
        <w:contextualSpacing/>
        <w:jc w:val="both"/>
        <w:rPr>
          <w:rFonts w:cs="Arial"/>
          <w:strike/>
          <w:color w:val="000000"/>
        </w:rPr>
      </w:pPr>
      <w:r>
        <w:rPr>
          <w:rFonts w:cs="Arial"/>
          <w:color w:val="000000"/>
          <w:szCs w:val="20"/>
        </w:rPr>
        <w:t>Considera-se ocorrido o recebimento da nota fiscal ou fatura quando o órgão contratante atestar a execução do objeto do contrato.</w:t>
      </w:r>
    </w:p>
    <w:p>
      <w:pPr>
        <w:pStyle w:val="Normal"/>
        <w:numPr>
          <w:ilvl w:val="1"/>
          <w:numId w:val="1"/>
        </w:numPr>
        <w:spacing w:lineRule="auto" w:line="276" w:before="120" w:after="120"/>
        <w:jc w:val="both"/>
        <w:rPr>
          <w:color w:val="000000"/>
        </w:rPr>
      </w:pPr>
      <w:r>
        <w:rPr>
          <w:color w:val="000000"/>
        </w:rPr>
        <w:t xml:space="preserve">A Nota Fiscal ou Fatura deverá ser obrigatoriamente acompanhada da comprovação da regularidade fiscal, constatada por meio de consulta on-line ao SICAF ou, na impossibilidade de acesso </w:t>
      </w:r>
      <w:r>
        <w:rPr>
          <w:rFonts w:cs="Arial"/>
          <w:color w:val="000000"/>
          <w:lang w:eastAsia="en-US"/>
        </w:rPr>
        <w:t>ao</w:t>
      </w:r>
      <w:r>
        <w:rPr>
          <w:color w:val="000000"/>
        </w:rPr>
        <w:t xml:space="preserve"> referido Sistema, mediante consulta aos sítios eletrônicos oficiais ou à documentação mencionada no art. 29 da Lei nº 8.666, de 1993. </w:t>
      </w:r>
    </w:p>
    <w:p>
      <w:pPr>
        <w:pStyle w:val="Normal"/>
        <w:numPr>
          <w:ilvl w:val="2"/>
          <w:numId w:val="1"/>
        </w:numPr>
        <w:spacing w:lineRule="auto" w:line="276" w:before="120" w:after="120"/>
        <w:jc w:val="both"/>
        <w:rPr>
          <w:color w:val="000000"/>
        </w:rPr>
      </w:pPr>
      <w:r>
        <w:rPr>
          <w:color w:val="000000"/>
        </w:rPr>
        <w:t xml:space="preserve">Constatando-se, junto ao SICAF, a situação de irregularidade do fornecedor contratado, deverão ser tomadas as providências previstas no do art. 31 da Instrução </w:t>
      </w:r>
      <w:r>
        <w:rPr>
          <w:rFonts w:cs="Arial"/>
          <w:color w:val="000000"/>
          <w:lang w:eastAsia="en-US"/>
        </w:rPr>
        <w:t>Normativa</w:t>
      </w:r>
      <w:r>
        <w:rPr>
          <w:color w:val="000000"/>
        </w:rPr>
        <w:t xml:space="preserve"> nº 3, de 26 de abril de 2018.</w:t>
      </w:r>
    </w:p>
    <w:p>
      <w:pPr>
        <w:pStyle w:val="ListParagraph"/>
        <w:numPr>
          <w:ilvl w:val="1"/>
          <w:numId w:val="1"/>
        </w:numPr>
        <w:spacing w:lineRule="auto" w:line="276" w:before="120" w:after="120"/>
        <w:ind w:left="425" w:hanging="0"/>
        <w:contextualSpacing/>
        <w:jc w:val="both"/>
        <w:rPr>
          <w:rFonts w:cs="Arial"/>
          <w:color w:val="000000"/>
          <w:szCs w:val="20"/>
          <w:lang w:eastAsia="en-US"/>
        </w:rPr>
      </w:pPr>
      <w:r>
        <w:rPr>
          <w:rFonts w:cs="Arial"/>
          <w:color w:val="000000"/>
          <w:szCs w:val="20"/>
          <w:lang w:eastAsia="en-US"/>
        </w:rPr>
        <w:t xml:space="preserve">Havendo erro na apresentação da Nota Fiscal ou dos documentos pertinentes à contratação, ou, ainda, circunstância que impeça a liquidação da despesa, como, por exemplo, </w:t>
      </w:r>
      <w:r>
        <w:rPr>
          <w:rFonts w:cs="Arial"/>
          <w:color w:val="000000"/>
          <w:szCs w:val="20"/>
        </w:rPr>
        <w:t>obrigação financeira pendente, decorrente de penalidade imposta ou inadimplência,</w:t>
      </w:r>
      <w:r>
        <w:rPr>
          <w:rFonts w:cs="Arial"/>
          <w:color w:val="000000"/>
          <w:szCs w:val="20"/>
          <w:lang w:eastAsia="en-US"/>
        </w:rPr>
        <w:t xml:space="preserve"> o pagamento ficará sobrestado até que a Contratada providencie as medidas saneadoras. Nesta hipótese, o prazo para pagamento iniciar-se-á após a comprovação da regularização da situação, não acarretando qualquer ônus para a Contratante.</w:t>
      </w:r>
    </w:p>
    <w:p>
      <w:pPr>
        <w:pStyle w:val="Normal"/>
        <w:numPr>
          <w:ilvl w:val="1"/>
          <w:numId w:val="1"/>
        </w:numPr>
        <w:spacing w:lineRule="auto" w:line="276" w:before="120" w:after="120"/>
        <w:jc w:val="both"/>
        <w:rPr>
          <w:rFonts w:cs="Arial"/>
          <w:szCs w:val="20"/>
          <w:lang w:eastAsia="en-US"/>
        </w:rPr>
      </w:pPr>
      <w:r>
        <w:rPr>
          <w:rFonts w:cs="Arial"/>
          <w:szCs w:val="20"/>
          <w:lang w:eastAsia="en-US"/>
        </w:rPr>
        <w:t>Será considerada data do pagamento o dia em que constar como emitida a ordem bancária para pagamento.</w:t>
      </w:r>
    </w:p>
    <w:p>
      <w:pPr>
        <w:pStyle w:val="Normal"/>
        <w:numPr>
          <w:ilvl w:val="1"/>
          <w:numId w:val="1"/>
        </w:numPr>
        <w:spacing w:lineRule="auto" w:line="276" w:before="120" w:after="120"/>
        <w:jc w:val="both"/>
        <w:rPr>
          <w:rFonts w:cs="Arial"/>
          <w:szCs w:val="20"/>
          <w:lang w:eastAsia="en-US"/>
        </w:rPr>
      </w:pPr>
      <w:r>
        <w:rPr>
          <w:rFonts w:cs="Arial"/>
          <w:szCs w:val="20"/>
          <w:lang w:eastAsia="en-US"/>
        </w:rPr>
        <w:t xml:space="preserve">Antes de cada pagamento à contratada, será realizada consulta ao SICAF para verificar a manutenção das condições de habilitação exigidas no edital. </w:t>
      </w:r>
    </w:p>
    <w:p>
      <w:pPr>
        <w:pStyle w:val="Normal"/>
        <w:numPr>
          <w:ilvl w:val="1"/>
          <w:numId w:val="1"/>
        </w:numPr>
        <w:spacing w:lineRule="auto" w:line="276" w:before="120" w:after="120"/>
        <w:jc w:val="both"/>
        <w:rPr>
          <w:rFonts w:cs="Arial"/>
          <w:szCs w:val="20"/>
          <w:lang w:eastAsia="en-US"/>
        </w:rPr>
      </w:pPr>
      <w:r>
        <w:rPr>
          <w:rFonts w:cs="Arial"/>
          <w:szCs w:val="20"/>
          <w:lang w:eastAsia="en-US"/>
        </w:rPr>
        <w:t>Constatando-se, junto ao SICAF, a situação de irregularidade da contratada, será providenciada sua notificação, por escrito, para que, no prazo de 5 (cinco) dias úteis, regularize sua situação ou, no mesmo prazo, apresente sua defesa. O prazo poderá ser prorrogado uma vez, por igual período, a critério da contratante.</w:t>
      </w:r>
    </w:p>
    <w:p>
      <w:pPr>
        <w:pStyle w:val="Normal"/>
        <w:numPr>
          <w:ilvl w:val="1"/>
          <w:numId w:val="1"/>
        </w:numPr>
        <w:spacing w:lineRule="auto" w:line="276" w:before="120" w:after="120"/>
        <w:jc w:val="both"/>
        <w:rPr>
          <w:rFonts w:cs="Arial"/>
          <w:szCs w:val="20"/>
          <w:lang w:eastAsia="en-US"/>
        </w:rPr>
      </w:pPr>
      <w:r>
        <w:rPr>
          <w:rFonts w:cs="Arial"/>
          <w:szCs w:val="20"/>
          <w:lang w:eastAsia="en-US"/>
        </w:rPr>
        <w:t>Previamente à emissão de nota de empenho e a cada pagamento, a Administração deverá realizar consulta ao SICAF para identificar possível suspensão temporária de participação em licitação, no âmbito do órgão ou entidade, proibição de contratar com o Poder Público, bem como ocorrências impeditivas indiretas, observado o disposto no art. 29, da Instrução Normativa nº 3, de 26 de abril de 2018.</w:t>
      </w:r>
    </w:p>
    <w:p>
      <w:pPr>
        <w:pStyle w:val="Normal"/>
        <w:numPr>
          <w:ilvl w:val="1"/>
          <w:numId w:val="1"/>
        </w:numPr>
        <w:spacing w:lineRule="auto" w:line="276" w:before="120" w:after="120"/>
        <w:jc w:val="both"/>
        <w:rPr>
          <w:rFonts w:cs="Arial"/>
          <w:szCs w:val="20"/>
          <w:lang w:eastAsia="en-US"/>
        </w:rPr>
      </w:pPr>
      <w:r>
        <w:rPr>
          <w:rFonts w:cs="Arial"/>
          <w:szCs w:val="20"/>
          <w:lang w:eastAsia="en-US"/>
        </w:rPr>
        <w:t xml:space="preserve">Não havendo regularização ou sendo a defesa considerada improcedente, a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  </w:t>
      </w:r>
    </w:p>
    <w:p>
      <w:pPr>
        <w:pStyle w:val="Normal"/>
        <w:numPr>
          <w:ilvl w:val="1"/>
          <w:numId w:val="1"/>
        </w:numPr>
        <w:spacing w:lineRule="auto" w:line="276" w:before="120" w:after="120"/>
        <w:jc w:val="both"/>
        <w:rPr>
          <w:rFonts w:cs="Arial"/>
          <w:szCs w:val="20"/>
          <w:lang w:eastAsia="en-US"/>
        </w:rPr>
      </w:pPr>
      <w:r>
        <w:rPr>
          <w:rFonts w:cs="Arial"/>
          <w:szCs w:val="20"/>
          <w:lang w:eastAsia="en-US"/>
        </w:rPr>
        <w:t xml:space="preserve">Persistindo a irregularidade, a contratante deverá adotar as medidas necessárias à rescisão contratual nos autos do processo administrativo correspondente, assegurada à contratada a ampla defesa. </w:t>
      </w:r>
    </w:p>
    <w:p>
      <w:pPr>
        <w:pStyle w:val="Normal"/>
        <w:numPr>
          <w:ilvl w:val="1"/>
          <w:numId w:val="1"/>
        </w:numPr>
        <w:spacing w:lineRule="auto" w:line="276" w:before="120" w:after="120"/>
        <w:jc w:val="both"/>
        <w:rPr>
          <w:rFonts w:cs="Arial"/>
          <w:szCs w:val="20"/>
          <w:lang w:eastAsia="en-US"/>
        </w:rPr>
      </w:pPr>
      <w:r>
        <w:rPr>
          <w:rFonts w:cs="Arial"/>
          <w:szCs w:val="20"/>
          <w:lang w:eastAsia="en-US"/>
        </w:rPr>
        <w:t xml:space="preserve">Havendo a efetiva execução do objeto, os pagamentos serão realizados normalmente, até que se decida pela rescisão do contrato, caso a contratada não regularize sua situação junto ao SICAF.  </w:t>
      </w:r>
    </w:p>
    <w:p>
      <w:pPr>
        <w:pStyle w:val="ListParagraph"/>
        <w:spacing w:lineRule="auto" w:line="276" w:before="120" w:after="120"/>
        <w:ind w:left="716" w:hanging="0"/>
        <w:contextualSpacing/>
        <w:jc w:val="both"/>
        <w:rPr>
          <w:rFonts w:cs="Arial"/>
          <w:color w:val="000000"/>
          <w:szCs w:val="20"/>
        </w:rPr>
      </w:pPr>
      <w:r>
        <w:rPr>
          <w:rFonts w:cs="Arial"/>
          <w:szCs w:val="20"/>
          <w:lang w:eastAsia="en-US"/>
        </w:rPr>
        <w:t>10.11.1. Será rescindido o contrato em execução com a contratada inadimplente no SICAF, salvo por motivo de economicidade, segurança nacional ou outro de interesse público de alta relevância, devidamente justificado, em qualquer caso, pela máxima autoridade da contratante.</w:t>
      </w:r>
    </w:p>
    <w:p>
      <w:pPr>
        <w:pStyle w:val="ListParagraph"/>
        <w:numPr>
          <w:ilvl w:val="1"/>
          <w:numId w:val="1"/>
        </w:numPr>
        <w:spacing w:lineRule="auto" w:line="276" w:before="120" w:after="120"/>
        <w:contextualSpacing/>
        <w:jc w:val="both"/>
        <w:rPr>
          <w:rFonts w:cs="Arial"/>
          <w:color w:val="000000"/>
          <w:szCs w:val="20"/>
        </w:rPr>
      </w:pPr>
      <w:r>
        <w:rPr>
          <w:rFonts w:cs="Arial"/>
          <w:color w:val="000000"/>
          <w:szCs w:val="20"/>
        </w:rPr>
        <w:t>Quando do pagamento, será efetuada a retenção tributária prevista na legislação aplicável.</w:t>
      </w:r>
    </w:p>
    <w:p>
      <w:pPr>
        <w:pStyle w:val="Normal"/>
        <w:numPr>
          <w:ilvl w:val="2"/>
          <w:numId w:val="1"/>
        </w:numPr>
        <w:tabs>
          <w:tab w:val="clear" w:pos="708"/>
          <w:tab w:val="left" w:pos="1440" w:leader="none"/>
        </w:tabs>
        <w:snapToGrid w:val="false"/>
        <w:spacing w:lineRule="auto" w:line="276" w:before="120" w:after="120"/>
        <w:ind w:left="1134" w:hanging="0"/>
        <w:jc w:val="both"/>
        <w:rPr>
          <w:rFonts w:cs="Arial"/>
          <w:color w:val="000000"/>
          <w:szCs w:val="20"/>
        </w:rPr>
      </w:pPr>
      <w:r>
        <w:rPr>
          <w:rFonts w:cs="Arial"/>
          <w:color w:val="000000"/>
          <w:szCs w:val="20"/>
        </w:rPr>
        <w:t>A Contratada regularmente optante pelo Simples Nacional, nos termos da Lei Complementar nº 123, de 2006,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r>
        <w:rPr>
          <w:rFonts w:cs="Arial"/>
          <w:szCs w:val="20"/>
          <w:lang w:eastAsia="en-US"/>
        </w:rPr>
        <w:t xml:space="preserve"> </w:t>
      </w:r>
    </w:p>
    <w:p>
      <w:pPr>
        <w:pStyle w:val="ListParagraph"/>
        <w:numPr>
          <w:ilvl w:val="1"/>
          <w:numId w:val="1"/>
        </w:numPr>
        <w:spacing w:lineRule="auto" w:line="276" w:before="120" w:after="120"/>
        <w:ind w:left="425" w:hanging="0"/>
        <w:contextualSpacing/>
        <w:jc w:val="both"/>
        <w:rPr>
          <w:shd w:fill="auto" w:val="clear"/>
        </w:rPr>
      </w:pPr>
      <w:r>
        <w:rPr>
          <w:rFonts w:cs="Arial"/>
          <w:szCs w:val="20"/>
          <w:shd w:fill="auto" w:val="clear"/>
          <w:lang w:eastAsia="en-US"/>
        </w:rPr>
        <w:t>Nos casos de eventuais atrasos de pagamento, desde que a Contratada não tenha concorrido, de alguma forma, para tanto, o valor devido deverá ser acrescido de atualização financeira, e sua apuração se fará desde a data de seu vencimento até a data do efetivo pagamento, em que os juros de mora serão calculados à taxa de 0,5% (meio por cento) ao mês, ou 6% (seis por cento) ao ano, mediante aplicação das seguintes fórmulas</w:t>
      </w:r>
      <w:r>
        <w:rPr>
          <w:rFonts w:cs="Arial"/>
          <w:color w:val="000000"/>
          <w:szCs w:val="20"/>
          <w:shd w:fill="auto" w:val="clear"/>
        </w:rPr>
        <w:t>:</w:t>
      </w:r>
    </w:p>
    <w:p>
      <w:pPr>
        <w:pStyle w:val="Normal"/>
        <w:tabs>
          <w:tab w:val="clear" w:pos="708"/>
          <w:tab w:val="left" w:pos="1701" w:leader="none"/>
        </w:tabs>
        <w:spacing w:lineRule="auto" w:line="276" w:before="120" w:after="120"/>
        <w:ind w:left="425" w:hanging="0"/>
        <w:jc w:val="both"/>
        <w:rPr>
          <w:rFonts w:cs="Arial"/>
          <w:color w:val="000000"/>
          <w:szCs w:val="20"/>
        </w:rPr>
      </w:pPr>
      <w:r>
        <w:rPr>
          <w:rFonts w:cs="Arial"/>
          <w:color w:val="000000"/>
          <w:szCs w:val="20"/>
        </w:rPr>
        <w:t>EM = I x N x VP, sendo:</w:t>
      </w:r>
    </w:p>
    <w:p>
      <w:pPr>
        <w:pStyle w:val="Normal"/>
        <w:tabs>
          <w:tab w:val="clear" w:pos="708"/>
          <w:tab w:val="left" w:pos="1701" w:leader="none"/>
        </w:tabs>
        <w:spacing w:lineRule="auto" w:line="276" w:before="120" w:after="120"/>
        <w:ind w:left="425" w:hanging="0"/>
        <w:jc w:val="both"/>
        <w:rPr>
          <w:rFonts w:cs="Arial"/>
          <w:color w:val="000000"/>
          <w:szCs w:val="20"/>
        </w:rPr>
      </w:pPr>
      <w:r>
        <w:rPr>
          <w:rFonts w:cs="Arial"/>
          <w:color w:val="000000"/>
          <w:szCs w:val="20"/>
        </w:rPr>
        <w:t>EM = Encargos moratórios;</w:t>
      </w:r>
    </w:p>
    <w:p>
      <w:pPr>
        <w:pStyle w:val="Normal"/>
        <w:tabs>
          <w:tab w:val="clear" w:pos="708"/>
          <w:tab w:val="left" w:pos="1701" w:leader="none"/>
        </w:tabs>
        <w:spacing w:lineRule="auto" w:line="276" w:before="120" w:after="120"/>
        <w:ind w:left="425" w:hanging="0"/>
        <w:jc w:val="both"/>
        <w:rPr>
          <w:rFonts w:cs="Arial"/>
          <w:color w:val="000000"/>
          <w:szCs w:val="20"/>
        </w:rPr>
      </w:pPr>
      <w:r>
        <w:rPr>
          <w:rFonts w:cs="Arial"/>
          <w:color w:val="000000"/>
          <w:szCs w:val="20"/>
        </w:rPr>
        <w:t>N = Número de dias entre a data prevista para o pagamento e a do efetivo pagamento;</w:t>
      </w:r>
    </w:p>
    <w:p>
      <w:pPr>
        <w:pStyle w:val="Normal"/>
        <w:tabs>
          <w:tab w:val="clear" w:pos="708"/>
          <w:tab w:val="left" w:pos="1701" w:leader="none"/>
        </w:tabs>
        <w:spacing w:lineRule="auto" w:line="276" w:before="120" w:after="120"/>
        <w:ind w:left="425" w:hanging="0"/>
        <w:jc w:val="both"/>
        <w:rPr>
          <w:rFonts w:cs="Arial"/>
          <w:color w:val="000000"/>
          <w:szCs w:val="20"/>
        </w:rPr>
      </w:pPr>
      <w:r>
        <w:rPr>
          <w:rFonts w:cs="Arial"/>
          <w:color w:val="000000"/>
          <w:szCs w:val="20"/>
        </w:rPr>
        <w:t>VP = Valor da parcela a ser paga.</w:t>
      </w:r>
    </w:p>
    <w:p>
      <w:pPr>
        <w:pStyle w:val="Normal"/>
        <w:tabs>
          <w:tab w:val="clear" w:pos="708"/>
          <w:tab w:val="left" w:pos="1701" w:leader="none"/>
        </w:tabs>
        <w:spacing w:lineRule="auto" w:line="276" w:before="120" w:after="120"/>
        <w:ind w:left="425" w:hanging="0"/>
        <w:jc w:val="both"/>
        <w:rPr>
          <w:rFonts w:cs="Arial"/>
          <w:color w:val="000000"/>
          <w:szCs w:val="20"/>
        </w:rPr>
      </w:pPr>
      <w:r>
        <w:rPr>
          <w:rFonts w:cs="Arial"/>
          <w:color w:val="000000"/>
          <w:szCs w:val="20"/>
        </w:rPr>
        <w:t>I = Índice de compensação financeira = 0,00016438, assim apurado:</w:t>
      </w:r>
    </w:p>
    <w:tbl>
      <w:tblPr>
        <w:tblStyle w:val="Tabelacomgrade"/>
        <w:tblW w:w="8646" w:type="dxa"/>
        <w:jc w:val="left"/>
        <w:tblInd w:w="425" w:type="dxa"/>
        <w:tblLayout w:type="fixed"/>
        <w:tblCellMar>
          <w:top w:w="0" w:type="dxa"/>
          <w:left w:w="108" w:type="dxa"/>
          <w:bottom w:w="0" w:type="dxa"/>
          <w:right w:w="108" w:type="dxa"/>
        </w:tblCellMar>
        <w:tblLook w:firstRow="1" w:noVBand="1" w:lastRow="0" w:firstColumn="1" w:lastColumn="0" w:noHBand="0" w:val="04a0"/>
      </w:tblPr>
      <w:tblGrid>
        <w:gridCol w:w="2149"/>
        <w:gridCol w:w="577"/>
        <w:gridCol w:w="1247"/>
        <w:gridCol w:w="4672"/>
      </w:tblGrid>
      <w:tr>
        <w:trPr/>
        <w:tc>
          <w:tcPr>
            <w:tcW w:w="2149" w:type="dxa"/>
            <w:tcBorders>
              <w:top w:val="nil"/>
              <w:left w:val="nil"/>
              <w:bottom w:val="nil"/>
              <w:right w:val="nil"/>
            </w:tcBorders>
            <w:vAlign w:val="center"/>
          </w:tcPr>
          <w:p>
            <w:pPr>
              <w:pStyle w:val="Normal"/>
              <w:widowControl w:val="false"/>
              <w:tabs>
                <w:tab w:val="clear" w:pos="708"/>
                <w:tab w:val="left" w:pos="1701" w:leader="none"/>
              </w:tabs>
              <w:suppressAutoHyphens w:val="true"/>
              <w:spacing w:before="0" w:after="0"/>
              <w:jc w:val="center"/>
              <w:rPr>
                <w:rFonts w:cs="Arial"/>
                <w:color w:val="000000"/>
                <w:szCs w:val="20"/>
              </w:rPr>
            </w:pPr>
            <w:r>
              <w:rPr>
                <w:rFonts w:eastAsia="ＭＳ 明朝" w:cs="Arial"/>
                <w:color w:val="000000"/>
                <w:kern w:val="0"/>
                <w:sz w:val="20"/>
                <w:szCs w:val="20"/>
                <w:lang w:val="pt-BR" w:eastAsia="en-US" w:bidi="ar-SA"/>
              </w:rPr>
              <w:t>I = (TX)</w:t>
            </w:r>
          </w:p>
        </w:tc>
        <w:tc>
          <w:tcPr>
            <w:tcW w:w="577" w:type="dxa"/>
            <w:tcBorders>
              <w:top w:val="nil"/>
              <w:left w:val="nil"/>
              <w:bottom w:val="nil"/>
              <w:right w:val="nil"/>
            </w:tcBorders>
            <w:vAlign w:val="center"/>
          </w:tcPr>
          <w:p>
            <w:pPr>
              <w:pStyle w:val="Normal"/>
              <w:widowControl w:val="false"/>
              <w:tabs>
                <w:tab w:val="clear" w:pos="708"/>
                <w:tab w:val="left" w:pos="1701" w:leader="none"/>
              </w:tabs>
              <w:suppressAutoHyphens w:val="true"/>
              <w:spacing w:before="0" w:after="0"/>
              <w:jc w:val="left"/>
              <w:rPr>
                <w:rFonts w:cs="Arial"/>
                <w:color w:val="000000"/>
                <w:szCs w:val="20"/>
              </w:rPr>
            </w:pPr>
            <w:r>
              <w:rPr>
                <w:rFonts w:eastAsia="ＭＳ 明朝" w:cs="Arial"/>
                <w:color w:val="000000"/>
                <w:kern w:val="0"/>
                <w:sz w:val="20"/>
                <w:szCs w:val="20"/>
                <w:lang w:val="pt-BR" w:eastAsia="en-US" w:bidi="ar-SA"/>
              </w:rPr>
              <w:t xml:space="preserve">I = </w:t>
            </w:r>
          </w:p>
        </w:tc>
        <w:tc>
          <w:tcPr>
            <w:tcW w:w="1247" w:type="dxa"/>
            <w:tcBorders>
              <w:top w:val="nil"/>
              <w:left w:val="nil"/>
              <w:right w:val="nil"/>
            </w:tcBorders>
          </w:tcPr>
          <w:p>
            <w:pPr>
              <w:pStyle w:val="Normal"/>
              <w:widowControl w:val="false"/>
              <w:tabs>
                <w:tab w:val="clear" w:pos="708"/>
                <w:tab w:val="left" w:pos="1701" w:leader="none"/>
              </w:tabs>
              <w:suppressAutoHyphens w:val="true"/>
              <w:spacing w:before="0" w:after="0"/>
              <w:jc w:val="center"/>
              <w:rPr>
                <w:rFonts w:cs="Arial"/>
                <w:color w:val="000000"/>
                <w:szCs w:val="20"/>
              </w:rPr>
            </w:pPr>
            <w:r>
              <w:rPr>
                <w:rFonts w:eastAsia="ＭＳ 明朝" w:cs="Arial"/>
                <w:color w:val="000000"/>
                <w:kern w:val="0"/>
                <w:sz w:val="20"/>
                <w:szCs w:val="20"/>
                <w:lang w:val="pt-BR" w:eastAsia="en-US" w:bidi="ar-SA"/>
              </w:rPr>
              <w:t>( 6 / 100 )</w:t>
            </w:r>
          </w:p>
        </w:tc>
        <w:tc>
          <w:tcPr>
            <w:tcW w:w="4672" w:type="dxa"/>
            <w:tcBorders>
              <w:top w:val="nil"/>
              <w:left w:val="nil"/>
              <w:bottom w:val="nil"/>
              <w:right w:val="nil"/>
            </w:tcBorders>
            <w:vAlign w:val="center"/>
          </w:tcPr>
          <w:p>
            <w:pPr>
              <w:pStyle w:val="Normal"/>
              <w:widowControl w:val="false"/>
              <w:tabs>
                <w:tab w:val="clear" w:pos="708"/>
                <w:tab w:val="left" w:pos="1701" w:leader="none"/>
              </w:tabs>
              <w:suppressAutoHyphens w:val="true"/>
              <w:spacing w:before="0" w:after="0"/>
              <w:ind w:left="742" w:hanging="0"/>
              <w:jc w:val="left"/>
              <w:rPr>
                <w:rFonts w:cs="Arial"/>
                <w:color w:val="000000"/>
                <w:szCs w:val="20"/>
              </w:rPr>
            </w:pPr>
            <w:r>
              <w:rPr>
                <w:rFonts w:eastAsia="ＭＳ 明朝" w:cs="Arial"/>
                <w:color w:val="000000"/>
                <w:kern w:val="0"/>
                <w:sz w:val="20"/>
                <w:szCs w:val="20"/>
                <w:lang w:val="pt-BR" w:eastAsia="en-US" w:bidi="ar-SA"/>
              </w:rPr>
              <w:t>I = 0,00016438</w:t>
            </w:r>
          </w:p>
          <w:p>
            <w:pPr>
              <w:pStyle w:val="Normal"/>
              <w:widowControl w:val="false"/>
              <w:tabs>
                <w:tab w:val="clear" w:pos="708"/>
                <w:tab w:val="left" w:pos="1701" w:leader="none"/>
              </w:tabs>
              <w:suppressAutoHyphens w:val="true"/>
              <w:spacing w:before="0" w:after="0"/>
              <w:ind w:left="742" w:hanging="0"/>
              <w:jc w:val="left"/>
              <w:rPr>
                <w:rFonts w:cs="Arial"/>
                <w:color w:val="000000"/>
                <w:szCs w:val="20"/>
              </w:rPr>
            </w:pPr>
            <w:r>
              <w:rPr>
                <w:rFonts w:eastAsia="ＭＳ 明朝" w:cs="Arial"/>
                <w:color w:val="000000"/>
                <w:kern w:val="0"/>
                <w:sz w:val="20"/>
                <w:szCs w:val="20"/>
                <w:lang w:val="pt-BR" w:eastAsia="en-US" w:bidi="ar-SA"/>
              </w:rPr>
              <w:t>TX = Percentual da taxa anual = 6%</w:t>
            </w:r>
          </w:p>
        </w:tc>
      </w:tr>
    </w:tbl>
    <w:p>
      <w:pPr>
        <w:pStyle w:val="Normal"/>
        <w:rPr/>
      </w:pPr>
      <w:r>
        <w:rPr/>
        <w:t xml:space="preserve">                                                            </w:t>
      </w:r>
      <w:r>
        <w:rPr/>
        <w:t>365</w:t>
      </w:r>
    </w:p>
    <w:p>
      <w:pPr>
        <w:pStyle w:val="Nivel1"/>
        <w:numPr>
          <w:ilvl w:val="0"/>
          <w:numId w:val="1"/>
        </w:numPr>
        <w:rPr>
          <w:shd w:fill="auto" w:val="clear"/>
        </w:rPr>
      </w:pPr>
      <w:r>
        <w:rPr/>
        <w:t xml:space="preserve">DO REAJUSTE </w:t>
      </w:r>
    </w:p>
    <w:p>
      <w:pPr>
        <w:pStyle w:val="Normal"/>
        <w:numPr>
          <w:ilvl w:val="1"/>
          <w:numId w:val="1"/>
        </w:numPr>
        <w:spacing w:lineRule="auto" w:line="276" w:before="120" w:after="120"/>
        <w:ind w:left="425" w:hanging="0"/>
        <w:jc w:val="both"/>
        <w:rPr>
          <w:shd w:fill="auto" w:val="clear"/>
        </w:rPr>
      </w:pPr>
      <w:r>
        <w:rPr>
          <w:rFonts w:cs="Arial"/>
          <w:szCs w:val="20"/>
          <w:shd w:fill="auto" w:val="clear"/>
        </w:rPr>
        <w:t>Os preços inicialmente contratados são fixos e irreajustáveis no prazo de um ano contado da data limite para a apresentação das propostas.</w:t>
      </w:r>
    </w:p>
    <w:p>
      <w:pPr>
        <w:pStyle w:val="Normal"/>
        <w:numPr>
          <w:ilvl w:val="1"/>
          <w:numId w:val="1"/>
        </w:numPr>
        <w:spacing w:lineRule="auto" w:line="276" w:before="120" w:after="120"/>
        <w:ind w:left="425" w:hanging="0"/>
        <w:jc w:val="both"/>
        <w:rPr>
          <w:rFonts w:cs="Arial"/>
          <w:szCs w:val="20"/>
        </w:rPr>
      </w:pPr>
      <w:r>
        <w:rPr>
          <w:rFonts w:cs="Arial"/>
          <w:szCs w:val="20"/>
          <w:shd w:fill="auto" w:val="clear"/>
        </w:rPr>
        <w:t>Após o interregno de um ano, e independentemente de pedido da CONTRATADA, os preços iniciais serão reajustados, mediante a aplicação, pela CONTRATANTE, do índice IPCA/IBGE</w:t>
      </w:r>
      <w:r>
        <w:rPr>
          <w:rFonts w:cs="Arial"/>
          <w:i/>
          <w:iCs/>
          <w:szCs w:val="20"/>
          <w:shd w:fill="auto" w:val="clear"/>
        </w:rPr>
        <w:t>,</w:t>
      </w:r>
      <w:r>
        <w:rPr>
          <w:rFonts w:cs="Arial"/>
          <w:szCs w:val="20"/>
          <w:shd w:fill="auto" w:val="clear"/>
        </w:rPr>
        <w:t xml:space="preserve"> exclusivamente para as obrigações iniciadas e concluídas após a ocorrência da</w:t>
      </w:r>
      <w:r>
        <w:rPr>
          <w:rFonts w:cs="Arial"/>
          <w:szCs w:val="20"/>
        </w:rPr>
        <w:t xml:space="preserve"> anualidade, com base na seguinte fórmula (art. 5º do Decreto n.º 1.054, de 1994): </w:t>
      </w:r>
    </w:p>
    <w:p>
      <w:pPr>
        <w:pStyle w:val="Normal"/>
        <w:spacing w:lineRule="auto" w:line="276" w:before="120" w:after="120"/>
        <w:ind w:left="1418" w:hanging="0"/>
        <w:jc w:val="both"/>
        <w:rPr>
          <w:rFonts w:cs="Arial"/>
          <w:szCs w:val="20"/>
        </w:rPr>
      </w:pPr>
      <w:r>
        <w:rPr>
          <w:rFonts w:cs="Arial"/>
          <w:szCs w:val="20"/>
        </w:rPr>
        <w:t>R = V (I – Iº) / Iº, onde:</w:t>
      </w:r>
    </w:p>
    <w:p>
      <w:pPr>
        <w:pStyle w:val="Normal"/>
        <w:spacing w:lineRule="auto" w:line="276" w:before="120" w:after="120"/>
        <w:ind w:left="1418" w:hanging="0"/>
        <w:jc w:val="both"/>
        <w:rPr>
          <w:rFonts w:cs="Arial"/>
          <w:szCs w:val="20"/>
        </w:rPr>
      </w:pPr>
      <w:r>
        <w:rPr>
          <w:rFonts w:cs="Arial"/>
          <w:szCs w:val="20"/>
        </w:rPr>
        <w:t>R = Valor do reajuste procurado;</w:t>
      </w:r>
    </w:p>
    <w:p>
      <w:pPr>
        <w:pStyle w:val="Normal"/>
        <w:spacing w:lineRule="auto" w:line="276" w:before="120" w:after="120"/>
        <w:ind w:left="1418" w:hanging="0"/>
        <w:jc w:val="both"/>
        <w:rPr>
          <w:rFonts w:cs="Arial"/>
          <w:szCs w:val="20"/>
        </w:rPr>
      </w:pPr>
      <w:r>
        <w:rPr>
          <w:rFonts w:cs="Arial"/>
          <w:szCs w:val="20"/>
        </w:rPr>
        <w:t>V = Valor contratual a ser reajustado;</w:t>
      </w:r>
    </w:p>
    <w:p>
      <w:pPr>
        <w:pStyle w:val="Normal"/>
        <w:spacing w:lineRule="auto" w:line="276" w:before="120" w:after="120"/>
        <w:ind w:left="1418" w:hanging="0"/>
        <w:jc w:val="both"/>
        <w:rPr>
          <w:rFonts w:cs="Arial"/>
          <w:szCs w:val="20"/>
        </w:rPr>
      </w:pPr>
      <w:r>
        <w:rPr>
          <w:rFonts w:cs="Arial"/>
          <w:szCs w:val="20"/>
        </w:rPr>
        <w:t>Iº = índice inicial - refere-se ao índice de custos ou de preços correspondente à data fixada para entrega da proposta na licitação;</w:t>
      </w:r>
    </w:p>
    <w:p>
      <w:pPr>
        <w:pStyle w:val="Normal"/>
        <w:spacing w:lineRule="auto" w:line="276" w:before="120" w:after="120"/>
        <w:ind w:left="1418" w:hanging="0"/>
        <w:jc w:val="both"/>
        <w:rPr>
          <w:rFonts w:cs="Arial"/>
          <w:szCs w:val="20"/>
        </w:rPr>
      </w:pPr>
      <w:r>
        <w:rPr>
          <w:rFonts w:cs="Arial"/>
          <w:szCs w:val="20"/>
        </w:rPr>
        <w:t>I = Índice relativo ao mês do reajustamento;</w:t>
      </w:r>
    </w:p>
    <w:p>
      <w:pPr>
        <w:pStyle w:val="Normal"/>
        <w:numPr>
          <w:ilvl w:val="1"/>
          <w:numId w:val="1"/>
        </w:numPr>
        <w:spacing w:lineRule="auto" w:line="276" w:before="120" w:after="120"/>
        <w:ind w:left="425" w:hanging="0"/>
        <w:jc w:val="both"/>
        <w:rPr>
          <w:rFonts w:cs="Arial"/>
          <w:szCs w:val="20"/>
        </w:rPr>
      </w:pPr>
      <w:r>
        <w:rPr>
          <w:rFonts w:cs="Arial"/>
          <w:szCs w:val="20"/>
        </w:rPr>
        <w:t>Nos reajustes subsequentes ao primeiro, o interregno mínimo de um ano será contado a partir dos efeitos financeiros do último reajuste.</w:t>
      </w:r>
    </w:p>
    <w:p>
      <w:pPr>
        <w:pStyle w:val="Normal"/>
        <w:numPr>
          <w:ilvl w:val="1"/>
          <w:numId w:val="1"/>
        </w:numPr>
        <w:spacing w:lineRule="auto" w:line="276" w:before="120" w:after="120"/>
        <w:ind w:left="425" w:hanging="0"/>
        <w:jc w:val="both"/>
        <w:rPr>
          <w:rFonts w:cs="Arial"/>
          <w:szCs w:val="20"/>
        </w:rPr>
      </w:pPr>
      <w:r>
        <w:rPr>
          <w:rFonts w:cs="Arial"/>
          <w:szCs w:val="20"/>
        </w:rPr>
        <w:t xml:space="preserve">No caso de atraso ou não divulgação do índice de reajustamento, o CONTRATANTE pagará à CONTRATADA a importância calculada pela última variação conhecida, liquidando a diferença correspondente tão logo seja divulgado o índice definitivo. </w:t>
      </w:r>
    </w:p>
    <w:p>
      <w:pPr>
        <w:pStyle w:val="Normal"/>
        <w:numPr>
          <w:ilvl w:val="1"/>
          <w:numId w:val="1"/>
        </w:numPr>
        <w:spacing w:lineRule="auto" w:line="276" w:before="120" w:after="120"/>
        <w:ind w:left="425" w:hanging="0"/>
        <w:jc w:val="both"/>
        <w:rPr>
          <w:rFonts w:cs="Arial"/>
          <w:szCs w:val="20"/>
        </w:rPr>
      </w:pPr>
      <w:r>
        <w:rPr>
          <w:rFonts w:cs="Arial"/>
          <w:szCs w:val="20"/>
        </w:rPr>
        <w:t>Nas aferições finais, o índice utilizado para reajuste será, obrigatoriamente, o definitivo.</w:t>
      </w:r>
    </w:p>
    <w:p>
      <w:pPr>
        <w:pStyle w:val="Normal"/>
        <w:numPr>
          <w:ilvl w:val="1"/>
          <w:numId w:val="1"/>
        </w:numPr>
        <w:spacing w:lineRule="auto" w:line="276" w:before="120" w:after="120"/>
        <w:ind w:left="425" w:hanging="0"/>
        <w:jc w:val="both"/>
        <w:rPr>
          <w:rFonts w:cs="Arial"/>
          <w:szCs w:val="20"/>
        </w:rPr>
      </w:pPr>
      <w:r>
        <w:rPr>
          <w:rFonts w:cs="Arial"/>
          <w:szCs w:val="20"/>
        </w:rPr>
        <w:t>Caso o índice estabelecido para reajustamento venha a ser extinto ou de qualquer forma não possa mais ser utilizado, será adotado, em substituição, o que vier a ser determinado pela legislação então em vigor.</w:t>
      </w:r>
    </w:p>
    <w:p>
      <w:pPr>
        <w:pStyle w:val="Normal"/>
        <w:numPr>
          <w:ilvl w:val="1"/>
          <w:numId w:val="1"/>
        </w:numPr>
        <w:spacing w:lineRule="auto" w:line="276" w:before="120" w:after="120"/>
        <w:ind w:left="425" w:hanging="0"/>
        <w:jc w:val="both"/>
        <w:rPr>
          <w:rFonts w:cs="Arial"/>
          <w:szCs w:val="20"/>
        </w:rPr>
      </w:pPr>
      <w:r>
        <w:rPr>
          <w:rFonts w:cs="Arial"/>
          <w:szCs w:val="20"/>
        </w:rPr>
        <w:t xml:space="preserve">Na ausência de previsão legal quanto ao índice substituto, as partes elegerão novo índice oficial, para reajustamento do preço do valor remanescente, por meio de termo aditivo. </w:t>
      </w:r>
    </w:p>
    <w:p>
      <w:pPr>
        <w:pStyle w:val="Normal"/>
        <w:numPr>
          <w:ilvl w:val="1"/>
          <w:numId w:val="1"/>
        </w:numPr>
        <w:spacing w:lineRule="auto" w:line="276" w:before="120" w:after="120"/>
        <w:ind w:left="425" w:hanging="0"/>
        <w:jc w:val="both"/>
        <w:rPr>
          <w:rFonts w:cs="Arial"/>
          <w:szCs w:val="20"/>
        </w:rPr>
      </w:pPr>
      <w:r>
        <w:rPr>
          <w:rFonts w:cs="Arial"/>
          <w:szCs w:val="20"/>
        </w:rPr>
        <w:t>O reajuste será realizado por apostilamento.</w:t>
      </w:r>
    </w:p>
    <w:p>
      <w:pPr>
        <w:pStyle w:val="Normal"/>
        <w:spacing w:lineRule="auto" w:line="276" w:before="0" w:after="120"/>
        <w:ind w:left="425" w:hanging="0"/>
        <w:jc w:val="both"/>
        <w:rPr>
          <w:rFonts w:cs="Arial"/>
          <w:color w:val="000000"/>
          <w:szCs w:val="20"/>
        </w:rPr>
      </w:pPr>
      <w:r>
        <w:rPr>
          <w:rFonts w:cs="Arial"/>
          <w:color w:val="000000"/>
          <w:szCs w:val="20"/>
        </w:rPr>
      </w:r>
    </w:p>
    <w:p>
      <w:pPr>
        <w:pStyle w:val="Nivel1"/>
        <w:numPr>
          <w:ilvl w:val="0"/>
          <w:numId w:val="1"/>
        </w:numPr>
        <w:spacing w:before="0" w:after="120"/>
        <w:rPr/>
      </w:pPr>
      <w:r>
        <w:rPr/>
        <w:t>DA GARANTIA DE EXECUÇÃO</w:t>
      </w:r>
    </w:p>
    <w:p>
      <w:pPr>
        <w:pStyle w:val="Normal"/>
        <w:numPr>
          <w:ilvl w:val="1"/>
          <w:numId w:val="1"/>
        </w:numPr>
        <w:spacing w:lineRule="auto" w:line="276" w:before="120" w:after="120"/>
        <w:jc w:val="both"/>
        <w:rPr>
          <w:i w:val="false"/>
          <w:i w:val="false"/>
          <w:iCs w:val="false"/>
          <w:color w:val="000000"/>
        </w:rPr>
      </w:pPr>
      <w:r>
        <w:rPr>
          <w:rFonts w:cs="Arial"/>
          <w:i w:val="false"/>
          <w:iCs w:val="false"/>
          <w:color w:val="000000"/>
        </w:rPr>
        <w:t>Não haverá exigência de garantia contratual da execução, pelas razões abaixo justificadas:</w:t>
      </w:r>
    </w:p>
    <w:p>
      <w:pPr>
        <w:pStyle w:val="Normal"/>
        <w:numPr>
          <w:ilvl w:val="2"/>
          <w:numId w:val="1"/>
        </w:numPr>
        <w:spacing w:lineRule="auto" w:line="276" w:before="120" w:after="120"/>
        <w:jc w:val="both"/>
        <w:rPr/>
      </w:pPr>
      <w:r>
        <w:rPr>
          <w:rFonts w:cs="Arial"/>
          <w:i w:val="false"/>
          <w:iCs w:val="false"/>
          <w:color w:val="000000"/>
          <w:szCs w:val="20"/>
        </w:rPr>
        <w:t>Pela forma de pagamento, que acontece somente após a entrega definitiva do bem, com ateste da Nota Fiscal pelo gestor do contrato. Assim, não há risco para administração e consequentemente não se faz necessária a exigência de garantia contratual da execução.</w:t>
      </w:r>
    </w:p>
    <w:p>
      <w:pPr>
        <w:pStyle w:val="Nivel1"/>
        <w:numPr>
          <w:ilvl w:val="0"/>
          <w:numId w:val="1"/>
        </w:numPr>
        <w:rPr>
          <w:color w:val="000000"/>
        </w:rPr>
      </w:pPr>
      <w:r>
        <w:rPr>
          <w:strike/>
          <w:color w:val="000000"/>
        </w:rPr>
        <w:t>A GARANTIA CONTRATUAL DOS BENS.</w:t>
      </w:r>
      <w:r>
        <w:rPr>
          <w:strike/>
          <w:color w:val="auto"/>
        </w:rPr>
        <w:t xml:space="preserve"> (SUPRESSÃO)</w:t>
      </w:r>
    </w:p>
    <w:p>
      <w:pPr>
        <w:pStyle w:val="Nivel1"/>
        <w:numPr>
          <w:ilvl w:val="0"/>
          <w:numId w:val="1"/>
        </w:numPr>
        <w:ind w:left="357" w:hanging="357"/>
        <w:rPr/>
      </w:pPr>
      <w:r>
        <w:rPr/>
        <w:t>DAS SANÇÕES ADMINISTRATIVAS</w:t>
      </w:r>
    </w:p>
    <w:p>
      <w:pPr>
        <w:pStyle w:val="Normal"/>
        <w:numPr>
          <w:ilvl w:val="1"/>
          <w:numId w:val="27"/>
        </w:numPr>
        <w:spacing w:lineRule="auto" w:line="276" w:before="120" w:after="120"/>
        <w:ind w:left="425" w:hanging="0"/>
        <w:jc w:val="both"/>
        <w:rPr>
          <w:rFonts w:cs="Arial"/>
          <w:szCs w:val="20"/>
        </w:rPr>
      </w:pPr>
      <w:r>
        <w:rPr>
          <w:rFonts w:cs="Arial"/>
          <w:szCs w:val="20"/>
        </w:rPr>
        <w:t>Comete infração administrativa nos termos da Lei nº 10.520, de 2002, a Contratada que:</w:t>
      </w:r>
    </w:p>
    <w:p>
      <w:pPr>
        <w:pStyle w:val="PargrafodaLista1"/>
        <w:numPr>
          <w:ilvl w:val="2"/>
          <w:numId w:val="28"/>
        </w:numPr>
        <w:spacing w:lineRule="auto" w:line="276" w:before="120" w:after="120"/>
        <w:ind w:left="1224" w:right="-30" w:hanging="504"/>
        <w:jc w:val="both"/>
        <w:rPr>
          <w:rFonts w:ascii="Arial" w:hAnsi="Arial" w:cs="Arial"/>
          <w:sz w:val="20"/>
          <w:szCs w:val="20"/>
        </w:rPr>
      </w:pPr>
      <w:r>
        <w:rPr>
          <w:rFonts w:cs="Arial" w:ascii="Arial" w:hAnsi="Arial"/>
          <w:sz w:val="20"/>
          <w:szCs w:val="20"/>
        </w:rPr>
        <w:t>falhar na execução do contrato, pela inexecução, total ou parcial, de quaisquer das obrigações assumidas na contratação;</w:t>
      </w:r>
    </w:p>
    <w:p>
      <w:pPr>
        <w:pStyle w:val="PargrafodaLista1"/>
        <w:numPr>
          <w:ilvl w:val="2"/>
          <w:numId w:val="29"/>
        </w:numPr>
        <w:spacing w:lineRule="auto" w:line="276" w:before="120" w:after="120"/>
        <w:ind w:left="1224" w:right="-30" w:hanging="504"/>
        <w:jc w:val="both"/>
        <w:rPr>
          <w:rFonts w:ascii="Arial" w:hAnsi="Arial" w:cs="Arial"/>
          <w:sz w:val="20"/>
          <w:szCs w:val="20"/>
        </w:rPr>
      </w:pPr>
      <w:r>
        <w:rPr>
          <w:rFonts w:cs="Arial" w:ascii="Arial" w:hAnsi="Arial"/>
          <w:sz w:val="20"/>
          <w:szCs w:val="20"/>
        </w:rPr>
        <w:t>ensejar o retardamento da execução do objeto;</w:t>
      </w:r>
    </w:p>
    <w:p>
      <w:pPr>
        <w:pStyle w:val="PargrafodaLista1"/>
        <w:numPr>
          <w:ilvl w:val="2"/>
          <w:numId w:val="30"/>
        </w:numPr>
        <w:spacing w:lineRule="auto" w:line="276" w:before="120" w:after="120"/>
        <w:ind w:left="1224" w:right="-30" w:hanging="504"/>
        <w:jc w:val="both"/>
        <w:rPr>
          <w:rFonts w:ascii="Arial" w:hAnsi="Arial" w:cs="Arial"/>
          <w:sz w:val="20"/>
          <w:szCs w:val="20"/>
        </w:rPr>
      </w:pPr>
      <w:r>
        <w:rPr>
          <w:rFonts w:cs="Arial" w:ascii="Arial" w:hAnsi="Arial"/>
          <w:sz w:val="20"/>
          <w:szCs w:val="20"/>
        </w:rPr>
        <w:t>fraudar na execução do contrato;</w:t>
      </w:r>
    </w:p>
    <w:p>
      <w:pPr>
        <w:pStyle w:val="PargrafodaLista1"/>
        <w:numPr>
          <w:ilvl w:val="2"/>
          <w:numId w:val="31"/>
        </w:numPr>
        <w:spacing w:lineRule="auto" w:line="276" w:before="120" w:after="120"/>
        <w:ind w:left="1224" w:right="-30" w:hanging="504"/>
        <w:jc w:val="both"/>
        <w:rPr>
          <w:rFonts w:ascii="Arial" w:hAnsi="Arial" w:cs="Arial"/>
          <w:sz w:val="20"/>
          <w:szCs w:val="20"/>
        </w:rPr>
      </w:pPr>
      <w:r>
        <w:rPr>
          <w:rFonts w:cs="Arial" w:ascii="Arial" w:hAnsi="Arial"/>
          <w:sz w:val="20"/>
          <w:szCs w:val="20"/>
        </w:rPr>
        <w:t>comportar-se de modo inidôneo; ou</w:t>
      </w:r>
    </w:p>
    <w:p>
      <w:pPr>
        <w:pStyle w:val="PargrafodaLista1"/>
        <w:numPr>
          <w:ilvl w:val="2"/>
          <w:numId w:val="32"/>
        </w:numPr>
        <w:spacing w:lineRule="auto" w:line="276" w:before="120" w:after="120"/>
        <w:ind w:left="1224" w:right="-30" w:hanging="504"/>
        <w:jc w:val="both"/>
        <w:rPr>
          <w:rFonts w:ascii="Arial" w:hAnsi="Arial" w:cs="Arial"/>
          <w:sz w:val="20"/>
          <w:szCs w:val="20"/>
        </w:rPr>
      </w:pPr>
      <w:r>
        <w:rPr>
          <w:rFonts w:cs="Arial" w:ascii="Arial" w:hAnsi="Arial"/>
          <w:sz w:val="20"/>
          <w:szCs w:val="20"/>
        </w:rPr>
        <w:t>cometer fraude fiscal.</w:t>
      </w:r>
    </w:p>
    <w:p>
      <w:pPr>
        <w:pStyle w:val="Normal"/>
        <w:numPr>
          <w:ilvl w:val="1"/>
          <w:numId w:val="33"/>
        </w:numPr>
        <w:spacing w:lineRule="auto" w:line="276" w:before="120" w:after="120"/>
        <w:ind w:left="425" w:hanging="0"/>
        <w:jc w:val="both"/>
        <w:rPr>
          <w:rFonts w:cs="Arial"/>
          <w:szCs w:val="20"/>
        </w:rPr>
      </w:pPr>
      <w:r>
        <w:rPr>
          <w:rFonts w:cs="Arial"/>
          <w:szCs w:val="20"/>
        </w:rPr>
        <w:t xml:space="preserve">Pela inexecução </w:t>
      </w:r>
      <w:r>
        <w:rPr>
          <w:rFonts w:cs="Arial"/>
          <w:szCs w:val="20"/>
          <w:u w:val="single"/>
        </w:rPr>
        <w:t>total ou parcial</w:t>
      </w:r>
      <w:r>
        <w:rPr>
          <w:rFonts w:cs="Arial"/>
          <w:szCs w:val="20"/>
        </w:rPr>
        <w:t xml:space="preserve"> do objeto deste contrato, a Administração pode aplicar à CONTRATADA as seguintes sanções:</w:t>
      </w:r>
    </w:p>
    <w:p>
      <w:pPr>
        <w:pStyle w:val="Normal"/>
        <w:numPr>
          <w:ilvl w:val="2"/>
          <w:numId w:val="34"/>
        </w:numPr>
        <w:spacing w:lineRule="auto" w:line="276" w:before="120" w:after="120"/>
        <w:jc w:val="both"/>
        <w:rPr>
          <w:rFonts w:cs="Arial"/>
          <w:szCs w:val="20"/>
        </w:rPr>
      </w:pPr>
      <w:r>
        <w:rPr>
          <w:rFonts w:cs="Arial"/>
          <w:b/>
          <w:bCs/>
          <w:szCs w:val="20"/>
        </w:rPr>
        <w:t>Advertência por escrito</w:t>
      </w:r>
      <w:r>
        <w:rPr>
          <w:rFonts w:cs="Arial"/>
          <w:szCs w:val="20"/>
        </w:rPr>
        <w:t>, quando do não cumprimento de quaisquer das obrigações contratuais consideradas faltas leves, assim entendidas aquelas que não acarretam prejuízos significativos para o serviço contratado;</w:t>
      </w:r>
    </w:p>
    <w:p>
      <w:pPr>
        <w:pStyle w:val="Normal"/>
        <w:numPr>
          <w:ilvl w:val="2"/>
          <w:numId w:val="35"/>
        </w:numPr>
        <w:spacing w:lineRule="auto" w:line="276" w:before="120" w:after="120"/>
        <w:jc w:val="both"/>
        <w:rPr>
          <w:rFonts w:cs="Arial"/>
          <w:szCs w:val="20"/>
        </w:rPr>
      </w:pPr>
      <w:r>
        <w:rPr>
          <w:rFonts w:cs="Arial"/>
          <w:b/>
          <w:bCs/>
          <w:szCs w:val="20"/>
        </w:rPr>
        <w:t>Multa:</w:t>
      </w:r>
    </w:p>
    <w:p>
      <w:pPr>
        <w:pStyle w:val="Normal"/>
        <w:numPr>
          <w:ilvl w:val="3"/>
          <w:numId w:val="36"/>
        </w:numPr>
        <w:spacing w:lineRule="auto" w:line="276" w:before="120" w:after="120"/>
        <w:jc w:val="both"/>
        <w:rPr>
          <w:rFonts w:cs="Arial"/>
          <w:szCs w:val="20"/>
        </w:rPr>
      </w:pPr>
      <w:r>
        <w:rPr>
          <w:rFonts w:cs="Arial"/>
          <w:szCs w:val="20"/>
        </w:rPr>
        <w:t xml:space="preserve">moratória de 0,5% (zero vírgula cinco por cento) por dia de atraso injustificado sobre o valor da parcela inadimplida, até o limite de </w:t>
      </w:r>
      <w:r>
        <w:rPr>
          <w:rFonts w:cs="Arial"/>
          <w:color w:val="000000"/>
          <w:szCs w:val="20"/>
        </w:rPr>
        <w:t>30 (trinta)</w:t>
      </w:r>
      <w:r>
        <w:rPr>
          <w:rFonts w:cs="Arial"/>
          <w:szCs w:val="20"/>
        </w:rPr>
        <w:t xml:space="preserve"> dias;</w:t>
      </w:r>
    </w:p>
    <w:p>
      <w:pPr>
        <w:pStyle w:val="Normal"/>
        <w:numPr>
          <w:ilvl w:val="3"/>
          <w:numId w:val="37"/>
        </w:numPr>
        <w:spacing w:lineRule="auto" w:line="276" w:before="120" w:after="120"/>
        <w:jc w:val="both"/>
        <w:rPr>
          <w:rFonts w:cs="Arial"/>
          <w:szCs w:val="20"/>
        </w:rPr>
      </w:pPr>
      <w:r>
        <w:rPr>
          <w:rFonts w:cs="Arial"/>
          <w:szCs w:val="20"/>
        </w:rPr>
        <w:t>compensatória de 10% (dez</w:t>
      </w:r>
      <w:r>
        <w:rPr>
          <w:rFonts w:cs="Arial"/>
          <w:color w:val="FF0000"/>
          <w:szCs w:val="20"/>
        </w:rPr>
        <w:t xml:space="preserve"> </w:t>
      </w:r>
      <w:r>
        <w:rPr>
          <w:rFonts w:cs="Arial"/>
          <w:szCs w:val="20"/>
        </w:rPr>
        <w:t>por cento) sobre o valor total do contrato, no caso de inexecução total do objeto;</w:t>
      </w:r>
    </w:p>
    <w:p>
      <w:pPr>
        <w:pStyle w:val="Normal"/>
        <w:numPr>
          <w:ilvl w:val="2"/>
          <w:numId w:val="38"/>
        </w:numPr>
        <w:spacing w:lineRule="auto" w:line="276" w:before="120" w:after="120"/>
        <w:jc w:val="both"/>
        <w:rPr>
          <w:rFonts w:cs="Arial"/>
          <w:szCs w:val="20"/>
        </w:rPr>
      </w:pPr>
      <w:r>
        <w:rPr>
          <w:rFonts w:cs="Arial"/>
          <w:b/>
          <w:bCs/>
          <w:szCs w:val="20"/>
        </w:rPr>
        <w:t>Suspensão de licitar e impedimento de contratar</w:t>
      </w:r>
      <w:r>
        <w:rPr>
          <w:rFonts w:cs="Arial"/>
          <w:szCs w:val="20"/>
        </w:rPr>
        <w:t xml:space="preserve"> com o órgão, entidade ou unidade administrativa pela qual a Administração Pública opera e atua concretamente, pelo prazo de até dois anos;</w:t>
      </w:r>
    </w:p>
    <w:p>
      <w:pPr>
        <w:pStyle w:val="ListParagraph"/>
        <w:numPr>
          <w:ilvl w:val="2"/>
          <w:numId w:val="39"/>
        </w:numPr>
        <w:jc w:val="both"/>
        <w:rPr>
          <w:rFonts w:cs="Arial"/>
          <w:szCs w:val="20"/>
        </w:rPr>
      </w:pPr>
      <w:r>
        <w:rPr>
          <w:rFonts w:cs="Arial"/>
          <w:b/>
          <w:bCs/>
          <w:szCs w:val="20"/>
        </w:rPr>
        <w:t>Sanção de impedimento de licitar e contratar com órgãos e entidades da União</w:t>
      </w:r>
      <w:r>
        <w:rPr>
          <w:rFonts w:cs="Arial"/>
          <w:szCs w:val="20"/>
        </w:rPr>
        <w:t>, com o consequente descredenciamento no SICAF pelo prazo de até cinco anos.</w:t>
      </w:r>
    </w:p>
    <w:p>
      <w:pPr>
        <w:pStyle w:val="Normal"/>
        <w:numPr>
          <w:ilvl w:val="2"/>
          <w:numId w:val="40"/>
        </w:numPr>
        <w:spacing w:lineRule="auto" w:line="276" w:before="120" w:after="120"/>
        <w:jc w:val="both"/>
        <w:rPr>
          <w:rFonts w:cs="Arial"/>
          <w:szCs w:val="20"/>
        </w:rPr>
      </w:pPr>
      <w:r>
        <w:rPr>
          <w:rFonts w:cs="Arial"/>
          <w:b/>
          <w:bCs/>
          <w:szCs w:val="20"/>
        </w:rPr>
        <w:t>Declaração de inidoneidade para licitar ou contratar</w:t>
      </w:r>
      <w:r>
        <w:rPr>
          <w:rFonts w:cs="Arial"/>
          <w:szCs w:val="20"/>
        </w:rPr>
        <w:t xml:space="preserve"> com a Administração Pública, enquanto perdurarem os motivos determinantes da punição ou até que seja promovida a reabilitação perante a própria autoridade que aplicou a penalidade, que será concedida sempre que a Contratada ressarcir a Contratante pelos prejuízos causados; </w:t>
      </w:r>
    </w:p>
    <w:p>
      <w:pPr>
        <w:pStyle w:val="Normal"/>
        <w:numPr>
          <w:ilvl w:val="1"/>
          <w:numId w:val="41"/>
        </w:numPr>
        <w:spacing w:lineRule="auto" w:line="276" w:before="120" w:after="120"/>
        <w:ind w:left="425" w:hanging="0"/>
        <w:jc w:val="both"/>
        <w:rPr>
          <w:rFonts w:cs="Arial"/>
          <w:szCs w:val="20"/>
        </w:rPr>
      </w:pPr>
      <w:r>
        <w:rPr>
          <w:rFonts w:cs="Arial"/>
          <w:szCs w:val="20"/>
        </w:rPr>
        <w:t xml:space="preserve"> </w:t>
      </w:r>
      <w:r>
        <w:rPr>
          <w:rFonts w:cs="Arial"/>
          <w:szCs w:val="20"/>
        </w:rPr>
        <w:t>A Sanção de impedimento de licitar e contratar prevista no subitem “iv” também é aplicável em quaisquer das hipóteses previstas como infração administrativa neste Termo de Referência.</w:t>
      </w:r>
    </w:p>
    <w:p>
      <w:pPr>
        <w:pStyle w:val="Normal"/>
        <w:numPr>
          <w:ilvl w:val="1"/>
          <w:numId w:val="42"/>
        </w:numPr>
        <w:spacing w:lineRule="auto" w:line="276" w:before="120" w:after="120"/>
        <w:ind w:left="425" w:hanging="0"/>
        <w:jc w:val="both"/>
        <w:rPr>
          <w:rFonts w:cs="Arial"/>
          <w:szCs w:val="20"/>
        </w:rPr>
      </w:pPr>
      <w:r>
        <w:rPr>
          <w:rFonts w:cs="Arial"/>
          <w:szCs w:val="20"/>
        </w:rPr>
        <w:t>As sanções previstas nos subitens “i”, “iii”, “iv” e “v” poderão ser aplicadas à CONTRATADA juntamente com as de multa, descontando-a dos pagamentos a serem efetuados.</w:t>
      </w:r>
      <w:bookmarkStart w:id="1" w:name="_Hlk78351618"/>
      <w:bookmarkEnd w:id="1"/>
    </w:p>
    <w:p>
      <w:pPr>
        <w:pStyle w:val="Normal"/>
        <w:numPr>
          <w:ilvl w:val="1"/>
          <w:numId w:val="1"/>
        </w:numPr>
        <w:spacing w:lineRule="auto" w:line="276" w:before="120" w:after="120"/>
        <w:ind w:left="425" w:hanging="0"/>
        <w:jc w:val="both"/>
        <w:rPr>
          <w:rFonts w:cs="Arial"/>
          <w:szCs w:val="20"/>
        </w:rPr>
      </w:pPr>
      <w:r>
        <w:rPr>
          <w:rFonts w:cs="Arial"/>
          <w:szCs w:val="20"/>
        </w:rPr>
        <w:t>Também ficam sujeitas às penalidades do art. 87, III e IV da Lei nº 8.666, de 1993, as empresas ou profissionais que:</w:t>
      </w:r>
    </w:p>
    <w:p>
      <w:pPr>
        <w:pStyle w:val="Normal"/>
        <w:numPr>
          <w:ilvl w:val="2"/>
          <w:numId w:val="1"/>
        </w:numPr>
        <w:spacing w:lineRule="auto" w:line="276" w:before="120" w:after="120"/>
        <w:ind w:left="1134" w:hanging="0"/>
        <w:jc w:val="both"/>
        <w:rPr>
          <w:rFonts w:cs="Arial"/>
          <w:szCs w:val="20"/>
        </w:rPr>
      </w:pPr>
      <w:r>
        <w:rPr>
          <w:rFonts w:cs="Arial"/>
          <w:szCs w:val="20"/>
        </w:rPr>
        <w:t>tenham sofrido condenação definitiva por praticar, por meio dolosos, fraude fiscal no recolhimento de quaisquer tributos;</w:t>
      </w:r>
    </w:p>
    <w:p>
      <w:pPr>
        <w:pStyle w:val="Normal"/>
        <w:numPr>
          <w:ilvl w:val="2"/>
          <w:numId w:val="1"/>
        </w:numPr>
        <w:spacing w:lineRule="auto" w:line="276" w:before="120" w:after="120"/>
        <w:ind w:left="1134" w:hanging="0"/>
        <w:jc w:val="both"/>
        <w:rPr>
          <w:rFonts w:cs="Arial"/>
          <w:szCs w:val="20"/>
        </w:rPr>
      </w:pPr>
      <w:r>
        <w:rPr>
          <w:rFonts w:cs="Arial"/>
          <w:szCs w:val="20"/>
        </w:rPr>
        <w:t>tenham praticado atos ilícitos visando a frustrar os objetivos da licitação;</w:t>
      </w:r>
    </w:p>
    <w:p>
      <w:pPr>
        <w:pStyle w:val="Normal"/>
        <w:numPr>
          <w:ilvl w:val="2"/>
          <w:numId w:val="1"/>
        </w:numPr>
        <w:spacing w:lineRule="auto" w:line="276" w:before="240" w:after="120"/>
        <w:ind w:left="1134" w:right="-17" w:hanging="283"/>
        <w:jc w:val="both"/>
        <w:rPr>
          <w:rFonts w:cs="Arial"/>
          <w:szCs w:val="20"/>
        </w:rPr>
      </w:pPr>
      <w:r>
        <w:rPr>
          <w:rFonts w:cs="Arial"/>
          <w:szCs w:val="20"/>
        </w:rPr>
        <w:t>demonstrem não possuir idoneidade para contratar com a Administração em virtude de atos ilícitos praticados.</w:t>
      </w:r>
    </w:p>
    <w:p>
      <w:pPr>
        <w:pStyle w:val="Normal"/>
        <w:numPr>
          <w:ilvl w:val="1"/>
          <w:numId w:val="1"/>
        </w:numPr>
        <w:spacing w:lineRule="auto" w:line="276" w:before="120" w:after="120"/>
        <w:ind w:left="425" w:hanging="0"/>
        <w:jc w:val="both"/>
        <w:rPr>
          <w:rFonts w:cs="Arial"/>
          <w:szCs w:val="20"/>
        </w:rPr>
      </w:pPr>
      <w:r>
        <w:rPr>
          <w:rFonts w:cs="Arial"/>
          <w:szCs w:val="20"/>
        </w:rPr>
        <w:t>A aplicação de qualquer das penalidades previstas realizar-se-á em processo administrativo que assegurará o contraditório e a ampla defesa à Contratada, observando-se o procedimento previsto na Lei nº 8.666, de 1993, e subsidiariamente a Lei nº 9.784, de 1999.</w:t>
      </w:r>
    </w:p>
    <w:p>
      <w:pPr>
        <w:pStyle w:val="Normal"/>
        <w:numPr>
          <w:ilvl w:val="1"/>
          <w:numId w:val="1"/>
        </w:numPr>
        <w:spacing w:lineRule="auto" w:line="276" w:before="120" w:after="120"/>
        <w:ind w:left="716" w:right="-30" w:hanging="432"/>
        <w:jc w:val="both"/>
        <w:rPr/>
      </w:pPr>
      <w:r>
        <w:rPr>
          <w:szCs w:val="20"/>
        </w:rPr>
        <w:t>As multas devidas e/ou prejuízos causados à Contratante serão deduzidos dos valores a serem pagos, ou recolhidos em favor da União, ou deduzidos da garantia, ou ainda, quando for o caso, serão inscritos na Dívida Ativa da União e cobrados judicialmente.</w:t>
      </w:r>
    </w:p>
    <w:p>
      <w:pPr>
        <w:pStyle w:val="Normal"/>
        <w:numPr>
          <w:ilvl w:val="2"/>
          <w:numId w:val="1"/>
        </w:numPr>
        <w:spacing w:lineRule="auto" w:line="276" w:before="120" w:after="120"/>
        <w:ind w:left="930" w:right="-30" w:hanging="504"/>
        <w:jc w:val="both"/>
        <w:rPr/>
      </w:pPr>
      <w:r>
        <w:rPr>
          <w:szCs w:val="20"/>
        </w:rPr>
        <w:t>Caso a Contratante determine, a multa deverá ser recolhida no prazo máximo de 30 (trinta) dias, a contar da data do recebimento da comunicação enviada pela autoridade competente.</w:t>
      </w:r>
    </w:p>
    <w:p>
      <w:pPr>
        <w:pStyle w:val="Normal"/>
        <w:numPr>
          <w:ilvl w:val="1"/>
          <w:numId w:val="1"/>
        </w:numPr>
        <w:spacing w:lineRule="auto" w:line="276" w:before="120" w:after="120"/>
        <w:ind w:left="716" w:right="-30" w:hanging="432"/>
        <w:jc w:val="both"/>
        <w:rPr>
          <w:rFonts w:cs="Arial"/>
          <w:szCs w:val="20"/>
        </w:rPr>
      </w:pPr>
      <w:r>
        <w:rPr>
          <w:rFonts w:cs="Arial"/>
          <w:szCs w:val="20"/>
        </w:rPr>
        <w:t>Caso o valor da multa não seja suficiente para cobrir os prejuízos causados pela conduta do licitante, a União ou Entidade poderá cobrar o valor remanescente judicialmente, conforme artigo 419 do Código Civil.</w:t>
      </w:r>
    </w:p>
    <w:p>
      <w:pPr>
        <w:pStyle w:val="Normal"/>
        <w:numPr>
          <w:ilvl w:val="1"/>
          <w:numId w:val="1"/>
        </w:numPr>
        <w:spacing w:lineRule="auto" w:line="276" w:before="120" w:after="120"/>
        <w:ind w:left="716" w:right="-30" w:hanging="432"/>
        <w:jc w:val="both"/>
        <w:rPr/>
      </w:pPr>
      <w:r>
        <w:rPr/>
        <w:t>A autoridade competente, na aplicação das sanções, levará em consideração a gravidade da conduta do infrator, o caráter educativo da pena, bem como o dano causado à Administração, observado o princípio da proporcionalidade.</w:t>
      </w:r>
    </w:p>
    <w:p>
      <w:pPr>
        <w:pStyle w:val="Nivel2"/>
        <w:numPr>
          <w:ilvl w:val="1"/>
          <w:numId w:val="1"/>
        </w:numPr>
        <w:rPr>
          <w:rFonts w:ascii="Arial" w:hAnsi="Arial" w:cs="Arial"/>
        </w:rPr>
      </w:pPr>
      <w:r>
        <w:rPr>
          <w:rFonts w:cs="Arial" w:ascii="Arial" w:hAnsi="Arial"/>
        </w:rPr>
        <w:t xml:space="preserve">Se, durante o processo de aplicação de penalidade, se houver indícios de prática de infração administrativa tipificada pela Lei nº 12.846, de 1º de agosto de 2013, como ato lesivo à administração pública nacional ou estrangeira, cópias do processo administrativo necessárias à apuração da responsabilidade da empresa deverão ser remetidas à autoridade competente, com despacho fundamentado, para ciência e decisão sobre a eventual instauração de investigação preliminar ou Processo Administrativo de Responsabilização - PAR. </w:t>
      </w:r>
    </w:p>
    <w:p>
      <w:pPr>
        <w:pStyle w:val="Nivel2"/>
        <w:numPr>
          <w:ilvl w:val="1"/>
          <w:numId w:val="1"/>
        </w:numPr>
        <w:rPr>
          <w:rFonts w:ascii="Arial" w:hAnsi="Arial" w:cs="Arial"/>
        </w:rPr>
      </w:pPr>
      <w:r>
        <w:rPr>
          <w:rFonts w:cs="Arial" w:ascii="Arial" w:hAnsi="Arial"/>
        </w:rPr>
        <w:t>A apuração e o julgamento das demais infrações administrativas não consideradas como ato lesivo à Administração Pública nacional ou estrangeira nos termos da Lei nº 12.846, de 1º de agosto de 2013, seguirão seu rito normal na unidade administrativa.</w:t>
      </w:r>
    </w:p>
    <w:p>
      <w:pPr>
        <w:pStyle w:val="Nivel2"/>
        <w:numPr>
          <w:ilvl w:val="1"/>
          <w:numId w:val="1"/>
        </w:numPr>
        <w:rPr>
          <w:rFonts w:ascii="Arial" w:hAnsi="Arial" w:cs="Arial"/>
        </w:rPr>
      </w:pPr>
      <w:r>
        <w:rPr>
          <w:rFonts w:cs="Arial" w:ascii="Arial" w:hAnsi="Arial"/>
        </w:rPr>
        <w:t xml:space="preserve">O processamento do PAR não interfere no seguimento regular dos processos administrativos específicos para apuração da ocorrência de danos e prejuízos à Administração Pública Federal resultantes de ato lesivo cometido por pessoa jurídica, com ou sem a participação de agente público. </w:t>
      </w:r>
    </w:p>
    <w:p>
      <w:pPr>
        <w:pStyle w:val="Normal"/>
        <w:numPr>
          <w:ilvl w:val="1"/>
          <w:numId w:val="1"/>
        </w:numPr>
        <w:spacing w:lineRule="auto" w:line="276" w:before="120" w:after="120"/>
        <w:ind w:left="425" w:hanging="0"/>
        <w:jc w:val="both"/>
        <w:rPr>
          <w:rFonts w:cs="Arial"/>
          <w:i/>
          <w:i/>
          <w:szCs w:val="20"/>
        </w:rPr>
      </w:pPr>
      <w:r>
        <w:rPr>
          <w:rFonts w:cs="Arial"/>
          <w:szCs w:val="20"/>
        </w:rPr>
        <w:t>As penalidades serão obrigatoriamente registradas no SICAF.</w:t>
      </w:r>
    </w:p>
    <w:p>
      <w:pPr>
        <w:pStyle w:val="Nivel1"/>
        <w:numPr>
          <w:ilvl w:val="0"/>
          <w:numId w:val="1"/>
        </w:numPr>
        <w:rPr>
          <w:shd w:fill="auto" w:val="clear"/>
        </w:rPr>
      </w:pPr>
      <w:r>
        <w:rPr>
          <w:bCs/>
          <w:shd w:fill="auto" w:val="clear"/>
        </w:rPr>
        <w:t>CRITÉRIOS DE SELEÇÃO DO FORNECEDOR.</w:t>
      </w:r>
    </w:p>
    <w:p>
      <w:pPr>
        <w:pStyle w:val="ListParagraph"/>
        <w:numPr>
          <w:ilvl w:val="0"/>
          <w:numId w:val="4"/>
        </w:numPr>
        <w:spacing w:lineRule="auto" w:line="276" w:before="120" w:after="120"/>
        <w:ind w:left="360" w:right="-30" w:hanging="360"/>
        <w:contextualSpacing/>
        <w:jc w:val="both"/>
        <w:rPr>
          <w:i/>
          <w:i/>
          <w:vanish/>
          <w:color w:val="FF0000"/>
          <w:szCs w:val="20"/>
          <w:shd w:fill="auto" w:val="clear"/>
        </w:rPr>
      </w:pPr>
      <w:r>
        <w:rPr>
          <w:i/>
          <w:vanish/>
          <w:color w:val="FF0000"/>
          <w:szCs w:val="20"/>
          <w:shd w:fill="auto" w:val="clear"/>
        </w:rPr>
      </w:r>
    </w:p>
    <w:p>
      <w:pPr>
        <w:pStyle w:val="Normal"/>
        <w:numPr>
          <w:ilvl w:val="1"/>
          <w:numId w:val="43"/>
        </w:numPr>
        <w:spacing w:lineRule="auto" w:line="276" w:before="120" w:after="120"/>
        <w:jc w:val="both"/>
        <w:rPr>
          <w:i w:val="false"/>
          <w:i w:val="false"/>
          <w:iCs w:val="false"/>
          <w:color w:val="000000"/>
          <w:shd w:fill="auto" w:val="clear"/>
        </w:rPr>
      </w:pPr>
      <w:r>
        <w:rPr>
          <w:i w:val="false"/>
          <w:iCs w:val="false"/>
          <w:color w:val="000000"/>
          <w:szCs w:val="20"/>
          <w:shd w:fill="auto" w:val="clear"/>
        </w:rPr>
        <w:t>Os</w:t>
      </w:r>
      <w:r>
        <w:rPr>
          <w:rFonts w:cs="Arial"/>
          <w:i w:val="false"/>
          <w:iCs w:val="false"/>
          <w:color w:val="000000"/>
          <w:szCs w:val="20"/>
          <w:shd w:fill="auto" w:val="clear"/>
        </w:rPr>
        <w:t xml:space="preserve"> critérios de aceitabilidade de preços serão:</w:t>
      </w:r>
    </w:p>
    <w:p>
      <w:pPr>
        <w:pStyle w:val="Normal"/>
        <w:numPr>
          <w:ilvl w:val="2"/>
          <w:numId w:val="1"/>
        </w:numPr>
        <w:spacing w:lineRule="auto" w:line="276" w:before="120" w:after="120"/>
        <w:ind w:left="1922" w:hanging="504"/>
        <w:jc w:val="both"/>
        <w:rPr>
          <w:shd w:fill="auto" w:val="clear"/>
        </w:rPr>
      </w:pPr>
      <w:r>
        <w:rPr>
          <w:rFonts w:cs="Arial"/>
          <w:i w:val="false"/>
          <w:iCs w:val="false"/>
          <w:color w:val="000000"/>
          <w:szCs w:val="20"/>
          <w:shd w:fill="auto" w:val="clear"/>
        </w:rPr>
        <w:t>Valor Global: R$ 213.189,99 (</w:t>
      </w:r>
      <w:r>
        <w:rPr>
          <w:rFonts w:eastAsia="Times New Roman" w:cs="Arial"/>
          <w:i w:val="false"/>
          <w:iCs w:val="false"/>
          <w:color w:val="000000"/>
          <w:kern w:val="0"/>
          <w:sz w:val="20"/>
          <w:szCs w:val="20"/>
          <w:shd w:fill="auto" w:val="clear"/>
          <w:lang w:val="pt-BR" w:eastAsia="pt-BR" w:bidi="ar-SA"/>
        </w:rPr>
        <w:t>duzentos e treze mil e cento e oitenta e nove reais e noventa e nove centavos</w:t>
      </w:r>
      <w:r>
        <w:rPr>
          <w:rFonts w:cs="Arial"/>
          <w:i w:val="false"/>
          <w:iCs w:val="false"/>
          <w:color w:val="000000"/>
          <w:szCs w:val="20"/>
          <w:shd w:fill="auto" w:val="clear"/>
        </w:rPr>
        <w:t>).</w:t>
      </w:r>
    </w:p>
    <w:p>
      <w:pPr>
        <w:pStyle w:val="Normal"/>
        <w:numPr>
          <w:ilvl w:val="2"/>
          <w:numId w:val="1"/>
        </w:numPr>
        <w:spacing w:lineRule="auto" w:line="276" w:before="120" w:after="120"/>
        <w:ind w:left="1922" w:hanging="504"/>
        <w:jc w:val="both"/>
        <w:rPr>
          <w:i w:val="false"/>
          <w:i w:val="false"/>
          <w:iCs w:val="false"/>
          <w:shd w:fill="auto" w:val="clear"/>
        </w:rPr>
      </w:pPr>
      <w:r>
        <w:rPr>
          <w:rFonts w:cs="Arial"/>
          <w:i w:val="false"/>
          <w:iCs w:val="false"/>
          <w:color w:val="000000"/>
          <w:szCs w:val="20"/>
          <w:shd w:fill="auto" w:val="clear"/>
        </w:rPr>
        <w:t>Valores unitários: conforme planilha de composição de preços anexa ao edital.</w:t>
      </w:r>
    </w:p>
    <w:p>
      <w:pPr>
        <w:pStyle w:val="Normal"/>
        <w:numPr>
          <w:ilvl w:val="1"/>
          <w:numId w:val="1"/>
        </w:numPr>
        <w:spacing w:lineRule="auto" w:line="276" w:before="120" w:after="120"/>
        <w:ind w:left="425" w:hanging="0"/>
        <w:jc w:val="both"/>
        <w:rPr>
          <w:rFonts w:cs="Arial"/>
          <w:szCs w:val="20"/>
        </w:rPr>
      </w:pPr>
      <w:r>
        <w:rPr>
          <w:rFonts w:cs="Arial"/>
          <w:szCs w:val="20"/>
        </w:rPr>
        <w:t>O critério de julgamento da proposta é o menor preço global.</w:t>
      </w:r>
    </w:p>
    <w:p>
      <w:pPr>
        <w:pStyle w:val="Normal"/>
        <w:numPr>
          <w:ilvl w:val="1"/>
          <w:numId w:val="1"/>
        </w:numPr>
        <w:spacing w:lineRule="auto" w:line="276" w:before="120" w:after="120"/>
        <w:ind w:left="432" w:right="-17" w:hanging="0"/>
        <w:jc w:val="both"/>
        <w:rPr>
          <w:rFonts w:cs="Arial"/>
          <w:b/>
          <w:b/>
          <w:szCs w:val="20"/>
          <w:lang w:val="x-none"/>
        </w:rPr>
      </w:pPr>
      <w:r>
        <w:rPr>
          <w:rFonts w:cs="Arial"/>
          <w:szCs w:val="20"/>
        </w:rPr>
        <w:t>As regras de desempate entre propostas são as discriminadas no edital.</w:t>
      </w:r>
    </w:p>
    <w:p>
      <w:pPr>
        <w:pStyle w:val="Nivel1"/>
        <w:numPr>
          <w:ilvl w:val="0"/>
          <w:numId w:val="1"/>
        </w:numPr>
        <w:spacing w:before="120" w:after="120"/>
        <w:ind w:left="360" w:right="-30" w:hanging="360"/>
        <w:rPr>
          <w:b w:val="false"/>
          <w:b w:val="false"/>
          <w:bCs/>
          <w:color w:val="FF0000"/>
        </w:rPr>
      </w:pPr>
      <w:r>
        <w:rPr>
          <w:bCs/>
        </w:rPr>
        <w:t xml:space="preserve">ESTIMATIVA DE </w:t>
      </w:r>
      <w:r>
        <w:rPr/>
        <w:t>PREÇOS</w:t>
      </w:r>
      <w:r>
        <w:rPr>
          <w:bCs/>
        </w:rPr>
        <w:t xml:space="preserve"> E PREÇOS REFERENCIAIS.</w:t>
      </w:r>
    </w:p>
    <w:p>
      <w:pPr>
        <w:pStyle w:val="Nivel1"/>
        <w:numPr>
          <w:ilvl w:val="1"/>
          <w:numId w:val="44"/>
        </w:numPr>
        <w:spacing w:lineRule="auto" w:line="276" w:before="120" w:after="120"/>
        <w:ind w:left="425" w:hanging="0"/>
        <w:jc w:val="both"/>
        <w:rPr>
          <w:shd w:fill="auto" w:val="clear"/>
        </w:rPr>
      </w:pPr>
      <w:r>
        <w:rPr>
          <w:b w:val="false"/>
          <w:bCs w:val="false"/>
          <w:i w:val="false"/>
          <w:iCs w:val="false"/>
          <w:color w:val="000000"/>
          <w:shd w:fill="auto" w:val="clear"/>
        </w:rPr>
        <w:t xml:space="preserve">O custo estimado da contratação é de </w:t>
      </w:r>
      <w:r>
        <w:rPr>
          <w:rFonts w:eastAsia="Times New Roman" w:cs="Arial"/>
          <w:b/>
          <w:bCs/>
          <w:i w:val="false"/>
          <w:iCs w:val="false"/>
          <w:color w:val="000000"/>
          <w:sz w:val="20"/>
          <w:szCs w:val="20"/>
          <w:shd w:fill="auto" w:val="clear"/>
          <w:lang w:eastAsia="pt-BR"/>
        </w:rPr>
        <w:t>R$ 213.189,99</w:t>
      </w:r>
      <w:r>
        <w:rPr>
          <w:rFonts w:eastAsia="Times New Roman" w:cs="Arial"/>
          <w:b/>
          <w:bCs/>
          <w:i/>
          <w:color w:val="000000"/>
          <w:sz w:val="20"/>
          <w:szCs w:val="20"/>
          <w:shd w:fill="auto" w:val="clear"/>
          <w:lang w:eastAsia="pt-BR"/>
        </w:rPr>
        <w:t>.</w:t>
      </w:r>
    </w:p>
    <w:p>
      <w:pPr>
        <w:pStyle w:val="Normal"/>
        <w:rPr>
          <w:shd w:fill="auto" w:val="clear"/>
        </w:rPr>
      </w:pPr>
      <w:r>
        <w:rPr>
          <w:shd w:fill="auto" w:val="clear"/>
        </w:rPr>
      </w:r>
    </w:p>
    <w:p>
      <w:pPr>
        <w:pStyle w:val="Nivel1"/>
        <w:numPr>
          <w:ilvl w:val="0"/>
          <w:numId w:val="1"/>
        </w:numPr>
        <w:spacing w:before="120" w:after="120"/>
        <w:ind w:left="360" w:right="-30" w:hanging="360"/>
        <w:rPr>
          <w:shd w:fill="auto" w:val="clear"/>
        </w:rPr>
      </w:pPr>
      <w:r>
        <w:rPr>
          <w:shd w:fill="auto" w:val="clear"/>
        </w:rPr>
        <w:t>DOS RECURSOS ORÇAMENTÁRIOS.</w:t>
      </w:r>
    </w:p>
    <w:p>
      <w:pPr>
        <w:pStyle w:val="Normal"/>
        <w:numPr>
          <w:ilvl w:val="1"/>
          <w:numId w:val="45"/>
        </w:numPr>
        <w:spacing w:lineRule="auto" w:line="276" w:before="120" w:after="120"/>
        <w:jc w:val="both"/>
        <w:rPr>
          <w:i w:val="false"/>
          <w:i w:val="false"/>
          <w:iCs w:val="false"/>
          <w:color w:val="000000"/>
          <w:shd w:fill="auto" w:val="clear"/>
        </w:rPr>
      </w:pPr>
      <w:r>
        <w:rPr>
          <w:rFonts w:cs="Arial"/>
          <w:i w:val="false"/>
          <w:iCs w:val="false"/>
          <w:color w:val="000000"/>
          <w:szCs w:val="20"/>
          <w:shd w:fill="auto" w:val="clear"/>
        </w:rPr>
        <w:t>A indicação da dotação orçamentária fica postergada para o momento da assinatura do contrato ou instrumento equivalente.</w:t>
      </w:r>
    </w:p>
    <w:p>
      <w:pPr>
        <w:pStyle w:val="Normal"/>
        <w:spacing w:before="0" w:after="360"/>
        <w:ind w:left="360" w:hanging="0"/>
        <w:rPr>
          <w:rFonts w:cs="Arial"/>
          <w:szCs w:val="20"/>
        </w:rPr>
      </w:pPr>
      <w:r>
        <w:rPr>
          <w:rFonts w:cs="Arial"/>
          <w:szCs w:val="20"/>
        </w:rPr>
      </w:r>
    </w:p>
    <w:p>
      <w:pPr>
        <w:pStyle w:val="Normal"/>
        <w:spacing w:before="0" w:after="360"/>
        <w:ind w:left="360" w:hanging="0"/>
        <w:rPr>
          <w:rFonts w:cs="Arial"/>
          <w:szCs w:val="20"/>
        </w:rPr>
      </w:pPr>
      <w:r>
        <w:rPr>
          <w:rFonts w:cs="Arial"/>
          <w:szCs w:val="20"/>
        </w:rPr>
      </w:r>
    </w:p>
    <w:p>
      <w:pPr>
        <w:pStyle w:val="Normal"/>
        <w:spacing w:before="0" w:after="360"/>
        <w:ind w:left="360" w:hanging="0"/>
        <w:rPr>
          <w:rFonts w:cs="Arial"/>
          <w:szCs w:val="20"/>
        </w:rPr>
      </w:pPr>
      <w:r>
        <w:rPr>
          <w:rFonts w:cs="Arial"/>
          <w:szCs w:val="20"/>
        </w:rPr>
      </w:r>
    </w:p>
    <w:p>
      <w:pPr>
        <w:pStyle w:val="Normal"/>
        <w:spacing w:before="0" w:after="360"/>
        <w:rPr>
          <w:shd w:fill="auto" w:val="clear"/>
        </w:rPr>
      </w:pPr>
      <w:r>
        <w:rPr>
          <w:rFonts w:cs="Arial"/>
          <w:i w:val="false"/>
          <w:iCs w:val="false"/>
          <w:szCs w:val="20"/>
          <w:shd w:fill="auto" w:val="clear"/>
        </w:rPr>
        <w:t>Município de</w:t>
      </w:r>
      <w:r>
        <w:rPr>
          <w:rFonts w:cs="Arial"/>
          <w:b/>
          <w:bCs/>
          <w:szCs w:val="20"/>
          <w:shd w:fill="auto" w:val="clear"/>
        </w:rPr>
        <w:t xml:space="preserve"> Barueri, 20 de </w:t>
      </w:r>
      <w:r>
        <w:rPr>
          <w:rFonts w:eastAsia="Times New Roman" w:cs="Arial"/>
          <w:b/>
          <w:bCs/>
          <w:color w:val="000000"/>
          <w:kern w:val="0"/>
          <w:sz w:val="20"/>
          <w:szCs w:val="20"/>
          <w:shd w:fill="auto" w:val="clear"/>
          <w:lang w:val="pt-BR" w:eastAsia="pt-BR" w:bidi="ar-SA"/>
        </w:rPr>
        <w:t>setembro</w:t>
      </w:r>
      <w:r>
        <w:rPr>
          <w:rFonts w:cs="Arial"/>
          <w:b/>
          <w:bCs/>
          <w:szCs w:val="20"/>
          <w:shd w:fill="auto" w:val="clear"/>
        </w:rPr>
        <w:t xml:space="preserve"> de 2021</w:t>
      </w:r>
      <w:r>
        <w:rPr>
          <w:rFonts w:cs="Arial"/>
          <w:szCs w:val="20"/>
          <w:shd w:fill="auto" w:val="clear"/>
        </w:rPr>
        <w:t>.</w:t>
      </w:r>
    </w:p>
    <w:p>
      <w:pPr>
        <w:pStyle w:val="Normal"/>
        <w:jc w:val="center"/>
        <w:rPr>
          <w:rFonts w:eastAsia="Arial" w:cs="Arial"/>
          <w:b/>
          <w:b/>
          <w:szCs w:val="20"/>
        </w:rPr>
      </w:pPr>
      <w:r>
        <w:rPr>
          <w:rFonts w:eastAsia="Arial" w:cs="Arial"/>
          <w:b/>
          <w:szCs w:val="20"/>
        </w:rPr>
      </w:r>
    </w:p>
    <w:p>
      <w:pPr>
        <w:pStyle w:val="Normal"/>
        <w:jc w:val="center"/>
        <w:rPr>
          <w:rFonts w:eastAsia="Arial" w:cs="Arial"/>
          <w:b/>
          <w:b/>
          <w:szCs w:val="20"/>
        </w:rPr>
      </w:pPr>
      <w:r>
        <w:rPr>
          <w:rFonts w:eastAsia="Arial" w:cs="Arial"/>
          <w:b/>
          <w:szCs w:val="20"/>
        </w:rPr>
      </w:r>
    </w:p>
    <w:p>
      <w:pPr>
        <w:pStyle w:val="Normal"/>
        <w:jc w:val="center"/>
        <w:rPr>
          <w:rFonts w:eastAsia="Arial" w:cs="Arial"/>
          <w:b/>
          <w:b/>
          <w:szCs w:val="20"/>
        </w:rPr>
      </w:pPr>
      <w:r>
        <w:rPr>
          <w:rFonts w:eastAsia="Arial" w:cs="Arial"/>
          <w:b/>
          <w:szCs w:val="20"/>
        </w:rPr>
      </w:r>
    </w:p>
    <w:p>
      <w:pPr>
        <w:pStyle w:val="Normal"/>
        <w:jc w:val="center"/>
        <w:rPr>
          <w:rFonts w:eastAsia="Arial" w:cs="Arial"/>
          <w:b/>
          <w:b/>
          <w:szCs w:val="20"/>
        </w:rPr>
      </w:pPr>
      <w:r>
        <w:rPr>
          <w:rFonts w:eastAsia="Calibri" w:cs="Arial"/>
          <w:b/>
          <w:color w:val="auto"/>
          <w:kern w:val="0"/>
          <w:sz w:val="20"/>
          <w:szCs w:val="20"/>
          <w:lang w:val="pt-BR" w:eastAsia="zh-CN" w:bidi="ar-SA"/>
        </w:rPr>
        <w:t>CAIO GOMES BONALDI</w:t>
      </w:r>
      <w:r>
        <w:rPr>
          <w:rFonts w:eastAsia="Arial" w:cs="Arial"/>
          <w:b/>
          <w:szCs w:val="20"/>
        </w:rPr>
        <w:t xml:space="preserve"> – 1º Ten</w:t>
      </w:r>
    </w:p>
    <w:p>
      <w:pPr>
        <w:pStyle w:val="Normal"/>
        <w:jc w:val="center"/>
        <w:rPr>
          <w:rFonts w:eastAsia="Arial" w:cs="Arial"/>
          <w:szCs w:val="20"/>
        </w:rPr>
      </w:pPr>
      <w:r>
        <w:rPr>
          <w:rFonts w:eastAsia="Arial" w:cs="Arial"/>
          <w:szCs w:val="20"/>
        </w:rPr>
        <w:t>Chefe da Seção de Orçamentação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jc w:val="both"/>
        <w:rPr>
          <w:rFonts w:eastAsia="Arial" w:cs="Arial"/>
          <w:szCs w:val="20"/>
        </w:rPr>
      </w:pPr>
      <w:r>
        <w:rPr>
          <w:rFonts w:eastAsia="Arial" w:cs="Arial"/>
          <w:szCs w:val="20"/>
        </w:rPr>
        <w:t>Aprovo o presente Termo de Referência, bem como estou de acordo com todas as informações prestadas nas declarações e assinaturas acima.</w:t>
      </w:r>
    </w:p>
    <w:p>
      <w:pPr>
        <w:pStyle w:val="Normal"/>
        <w:jc w:val="both"/>
        <w:rPr>
          <w:rFonts w:eastAsia="Arial" w:cs="Arial"/>
          <w:szCs w:val="20"/>
        </w:rPr>
      </w:pPr>
      <w:r>
        <w:rPr>
          <w:rFonts w:eastAsia="Arial" w:cs="Arial"/>
          <w:szCs w:val="20"/>
        </w:rPr>
      </w:r>
    </w:p>
    <w:p>
      <w:pPr>
        <w:pStyle w:val="Normal"/>
        <w:rPr>
          <w:rFonts w:eastAsia="Arial" w:cs="Arial"/>
          <w:szCs w:val="20"/>
        </w:rPr>
      </w:pPr>
      <w:r>
        <w:rPr>
          <w:rFonts w:eastAsia="Arial" w:cs="Arial"/>
          <w:szCs w:val="20"/>
        </w:rPr>
      </w:r>
    </w:p>
    <w:p>
      <w:pPr>
        <w:pStyle w:val="Normal"/>
        <w:spacing w:before="0" w:after="360"/>
        <w:rPr>
          <w:rFonts w:eastAsia="Arial" w:cs="Arial"/>
          <w:szCs w:val="20"/>
        </w:rPr>
      </w:pPr>
      <w:r>
        <w:rPr>
          <w:rFonts w:eastAsia="Arial" w:cs="Arial"/>
          <w:szCs w:val="20"/>
        </w:rPr>
        <w:t xml:space="preserve">Município de </w:t>
      </w:r>
      <w:r>
        <w:rPr>
          <w:rFonts w:eastAsia="Arial" w:cs="Arial"/>
          <w:b/>
          <w:bCs/>
          <w:szCs w:val="20"/>
        </w:rPr>
        <w:t xml:space="preserve">Barueri, </w:t>
      </w:r>
      <w:r>
        <w:rPr>
          <w:rFonts w:eastAsia="Times New Roman" w:cs="Arial"/>
          <w:b/>
          <w:bCs/>
          <w:color w:val="000000"/>
          <w:kern w:val="0"/>
          <w:sz w:val="20"/>
          <w:szCs w:val="20"/>
          <w:shd w:fill="auto" w:val="clear"/>
          <w:lang w:val="pt-BR" w:eastAsia="pt-BR" w:bidi="ar-SA"/>
        </w:rPr>
        <w:t>20 de setembro</w:t>
      </w:r>
      <w:r>
        <w:rPr>
          <w:rFonts w:eastAsia="Arial" w:cs="Arial"/>
          <w:b/>
          <w:bCs/>
          <w:szCs w:val="20"/>
        </w:rPr>
        <w:t xml:space="preserve"> de 2021</w:t>
      </w:r>
      <w:r>
        <w:rPr>
          <w:rFonts w:eastAsia="Arial" w:cs="Arial"/>
          <w:b w:val="false"/>
          <w:bCs w:val="false"/>
          <w:szCs w:val="20"/>
        </w:rPr>
        <w:t>.</w:t>
      </w:r>
    </w:p>
    <w:p>
      <w:pPr>
        <w:pStyle w:val="Normal"/>
        <w:rPr>
          <w:rFonts w:eastAsia="Arial" w:cs="Arial"/>
          <w:szCs w:val="20"/>
        </w:rPr>
      </w:pPr>
      <w:r>
        <w:rPr>
          <w:rFonts w:eastAsia="Arial" w:cs="Arial"/>
          <w:szCs w:val="20"/>
        </w:rPr>
      </w:r>
    </w:p>
    <w:p>
      <w:pPr>
        <w:pStyle w:val="Normal"/>
        <w:rPr>
          <w:rFonts w:eastAsia="Arial" w:cs="Arial"/>
          <w:szCs w:val="20"/>
        </w:rPr>
      </w:pPr>
      <w:r>
        <w:rPr>
          <w:rFonts w:eastAsia="Arial" w:cs="Arial"/>
          <w:szCs w:val="20"/>
        </w:rPr>
      </w:r>
    </w:p>
    <w:p>
      <w:pPr>
        <w:pStyle w:val="Normal"/>
        <w:rPr>
          <w:rFonts w:eastAsia="Arial" w:cs="Arial"/>
          <w:szCs w:val="20"/>
        </w:rPr>
      </w:pPr>
      <w:r>
        <w:rPr>
          <w:rFonts w:eastAsia="Arial" w:cs="Arial"/>
          <w:szCs w:val="20"/>
        </w:rPr>
      </w:r>
    </w:p>
    <w:p>
      <w:pPr>
        <w:pStyle w:val="Normal"/>
        <w:jc w:val="center"/>
        <w:rPr>
          <w:b/>
          <w:b/>
          <w:bCs/>
        </w:rPr>
      </w:pPr>
      <w:r>
        <w:rPr>
          <w:rFonts w:eastAsia="Arial" w:cs="Arial"/>
          <w:b/>
          <w:bCs/>
          <w:szCs w:val="20"/>
        </w:rPr>
        <w:t>ELIÉZER MELLO DE SOUZA  – Cel</w:t>
      </w:r>
    </w:p>
    <w:p>
      <w:pPr>
        <w:pStyle w:val="Normal"/>
        <w:jc w:val="center"/>
        <w:rPr>
          <w:rFonts w:eastAsia="Arial" w:cs="Arial"/>
          <w:szCs w:val="20"/>
        </w:rPr>
      </w:pPr>
      <w:bookmarkStart w:id="2" w:name="_Hlk40791269"/>
      <w:r>
        <w:rPr>
          <w:rFonts w:eastAsia="Arial" w:cs="Arial"/>
          <w:szCs w:val="20"/>
        </w:rPr>
        <w:t>Ordenador de Despesas</w:t>
      </w:r>
      <w:bookmarkEnd w:id="2"/>
    </w:p>
    <w:p>
      <w:pPr>
        <w:pStyle w:val="Normal"/>
        <w:spacing w:before="0" w:after="360"/>
        <w:ind w:left="360" w:hanging="0"/>
        <w:rPr>
          <w:rFonts w:cs="Arial"/>
          <w:szCs w:val="20"/>
        </w:rPr>
      </w:pPr>
      <w:r>
        <w:rPr/>
      </w:r>
    </w:p>
    <w:sectPr>
      <w:footerReference w:type="default" r:id="rId3"/>
      <w:type w:val="nextPage"/>
      <w:pgSz w:w="11906" w:h="16838"/>
      <w:pgMar w:left="1701" w:right="1134" w:header="0" w:top="1418" w:footer="709" w:bottom="141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Ecofont_Spranq_eco_Sans">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rFonts w:ascii="Times New Roman" w:hAnsi="Times New Roman" w:cs="Times New Roman"/>
      </w:rPr>
    </w:pPr>
    <w:r>
      <w:rPr>
        <w:rFonts w:cs="Times New Roman" w:ascii="Times New Roman" w:hAnsi="Times New Roman"/>
      </w:rPr>
      <w:t>____________________________________________________________________</w:t>
    </w:r>
  </w:p>
  <w:p>
    <w:pPr>
      <w:pStyle w:val="Rodap"/>
      <w:rPr>
        <w:rFonts w:cs="Arial"/>
        <w:sz w:val="12"/>
        <w:szCs w:val="12"/>
      </w:rPr>
    </w:pPr>
    <w:r>
      <w:rPr>
        <w:rFonts w:cs="Arial"/>
        <w:sz w:val="12"/>
        <w:szCs w:val="12"/>
      </w:rPr>
      <w:t>Câmara Nacional de Modelos de Licitações e Contratos da Consultoria-Geral da União</w:t>
    </w:r>
  </w:p>
  <w:p>
    <w:pPr>
      <w:pStyle w:val="Rodap"/>
      <w:rPr>
        <w:rFonts w:cs="Arial"/>
        <w:sz w:val="12"/>
        <w:szCs w:val="12"/>
      </w:rPr>
    </w:pPr>
    <w:r>
      <w:rPr>
        <w:rFonts w:cs="Arial"/>
        <w:sz w:val="12"/>
        <w:szCs w:val="12"/>
      </w:rPr>
      <w:t>Termo de Referência - Modelo para Pregão Eletrônico – Compras</w:t>
    </w:r>
  </w:p>
  <w:p>
    <w:pPr>
      <w:pStyle w:val="Rodap"/>
      <w:rPr>
        <w:rFonts w:cs="Arial"/>
      </w:rPr>
    </w:pPr>
    <w:r>
      <w:rPr>
        <w:rFonts w:cs="Arial"/>
        <w:sz w:val="12"/>
        <w:szCs w:val="12"/>
      </w:rPr>
      <w:t>Atualização: Junho/2021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502" w:hanging="360"/>
      </w:pPr>
      <w:rPr>
        <w:dstrike w:val="false"/>
        <w:strike w:val="false"/>
        <w:i w:val="false"/>
        <w:b/>
        <w:rFonts w:ascii="Arial" w:hAnsi="Arial"/>
      </w:rPr>
    </w:lvl>
    <w:lvl w:ilvl="1">
      <w:start w:val="1"/>
      <w:numFmt w:val="decimal"/>
      <w:lvlText w:val="%1.%2."/>
      <w:lvlJc w:val="left"/>
      <w:pPr>
        <w:tabs>
          <w:tab w:val="num" w:pos="0"/>
        </w:tabs>
        <w:ind w:left="858" w:hanging="432"/>
      </w:pPr>
      <w:rPr>
        <w:dstrike w:val="false"/>
        <w:strike w:val="false"/>
        <w:b w:val="false"/>
        <w:rFonts w:ascii="Arial" w:hAnsi="Arial"/>
      </w:rPr>
    </w:lvl>
    <w:lvl w:ilvl="2">
      <w:start w:val="1"/>
      <w:numFmt w:val="decimal"/>
      <w:lvlText w:val="%1.%2.%3."/>
      <w:lvlJc w:val="left"/>
      <w:pPr>
        <w:tabs>
          <w:tab w:val="num" w:pos="0"/>
        </w:tabs>
        <w:ind w:left="1224" w:hanging="504"/>
      </w:pPr>
      <w:rPr>
        <w:dstrike w:val="false"/>
        <w:strike w:val="false"/>
        <w:i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4053"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20"/>
      <w:numFmt w:val="decimal"/>
      <w:lvlText w:val="%1."/>
      <w:lvlJc w:val="left"/>
      <w:pPr>
        <w:tabs>
          <w:tab w:val="num" w:pos="0"/>
        </w:tabs>
        <w:ind w:left="360" w:hanging="360"/>
      </w:pPr>
    </w:lvl>
    <w:lvl w:ilvl="1">
      <w:start w:val="4"/>
      <w:numFmt w:val="decimal"/>
      <w:lvlText w:val="%1.%2."/>
      <w:lvlJc w:val="left"/>
      <w:pPr>
        <w:tabs>
          <w:tab w:val="num" w:pos="0"/>
        </w:tabs>
        <w:ind w:left="792" w:hanging="432"/>
      </w:pPr>
      <w:rPr>
        <w:i w:val="false"/>
        <w:b w:val="false"/>
      </w:rPr>
    </w:lvl>
    <w:lvl w:ilvl="2">
      <w:start w:val="1"/>
      <w:numFmt w:val="decimal"/>
      <w:lvlText w:val="%1.%2.%3."/>
      <w:lvlJc w:val="left"/>
      <w:pPr>
        <w:tabs>
          <w:tab w:val="num" w:pos="0"/>
        </w:tabs>
        <w:ind w:left="1224" w:hanging="504"/>
      </w:pPr>
      <w:rPr>
        <w:b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i w:val="false"/>
        <w:b w:val="false"/>
      </w:rPr>
    </w:lvl>
    <w:lvl w:ilvl="2">
      <w:start w:val="1"/>
      <w:numFmt w:val="lowerLetter"/>
      <w:lvlText w:val="%3)"/>
      <w:lvlJc w:val="left"/>
      <w:pPr>
        <w:tabs>
          <w:tab w:val="num" w:pos="0"/>
        </w:tabs>
        <w:ind w:left="1224" w:hanging="504"/>
      </w:pPr>
      <w:rPr>
        <w:b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i w:val="false"/>
        <w:b w:val="false"/>
      </w:rPr>
    </w:lvl>
    <w:lvl w:ilvl="2">
      <w:start w:val="1"/>
      <w:numFmt w:val="lowerLetter"/>
      <w:lvlText w:val="%3)"/>
      <w:lvlJc w:val="left"/>
      <w:pPr>
        <w:tabs>
          <w:tab w:val="num" w:pos="0"/>
        </w:tabs>
        <w:ind w:left="1224" w:hanging="504"/>
      </w:pPr>
      <w:rPr>
        <w:b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i w:val="false"/>
        <w:b w:val="false"/>
      </w:rPr>
    </w:lvl>
    <w:lvl w:ilvl="2">
      <w:start w:val="1"/>
      <w:numFmt w:val="lowerLetter"/>
      <w:lvlText w:val="%3)"/>
      <w:lvlJc w:val="left"/>
      <w:pPr>
        <w:tabs>
          <w:tab w:val="num" w:pos="0"/>
        </w:tabs>
        <w:ind w:left="1224" w:hanging="504"/>
      </w:pPr>
      <w:rPr>
        <w:b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i w:val="false"/>
        <w:b w:val="false"/>
      </w:rPr>
    </w:lvl>
    <w:lvl w:ilvl="2">
      <w:start w:val="1"/>
      <w:numFmt w:val="lowerLetter"/>
      <w:lvlText w:val="%3)"/>
      <w:lvlJc w:val="left"/>
      <w:pPr>
        <w:tabs>
          <w:tab w:val="num" w:pos="0"/>
        </w:tabs>
        <w:ind w:left="1224" w:hanging="504"/>
      </w:pPr>
      <w:rPr>
        <w:b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i w:val="false"/>
        <w:b w:val="false"/>
      </w:rPr>
    </w:lvl>
    <w:lvl w:ilvl="2">
      <w:start w:val="1"/>
      <w:numFmt w:val="lowerLetter"/>
      <w:lvlText w:val="%3)"/>
      <w:lvlJc w:val="left"/>
      <w:pPr>
        <w:tabs>
          <w:tab w:val="num" w:pos="0"/>
        </w:tabs>
        <w:ind w:left="1224" w:hanging="504"/>
      </w:pPr>
      <w:rPr>
        <w:b w:val="false"/>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5">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4">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716" w:hanging="432"/>
      </w:pPr>
      <w:rPr>
        <w:dstrike w:val="false"/>
        <w:strike w:val="false"/>
        <w:i w:val="false"/>
        <w:b w:val="false"/>
        <w:color w:val="auto"/>
      </w:rPr>
    </w:lvl>
    <w:lvl w:ilvl="2">
      <w:start w:val="1"/>
      <w:numFmt w:val="decimal"/>
      <w:lvlText w:val="%1.%2.%3."/>
      <w:lvlJc w:val="left"/>
      <w:pPr>
        <w:tabs>
          <w:tab w:val="num" w:pos="0"/>
        </w:tabs>
        <w:ind w:left="930" w:hanging="504"/>
      </w:pPr>
      <w:rPr>
        <w:i w:val="false"/>
        <w:b w:val="false"/>
        <w:color w:val="auto"/>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
    <w:lvlOverride w:ilvl="1">
      <w:startOverride w:val="1"/>
    </w:lvlOverride>
  </w:num>
  <w:num w:numId="27">
    <w:abstractNumId w:val="1"/>
  </w:num>
  <w:num w:numId="28">
    <w:abstractNumId w:val="7"/>
    <w:lvlOverride w:ilvl="2">
      <w:startOverride w:val="1"/>
    </w:lvlOverride>
  </w:num>
  <w:num w:numId="29">
    <w:abstractNumId w:val="7"/>
  </w:num>
  <w:num w:numId="30">
    <w:abstractNumId w:val="7"/>
  </w:num>
  <w:num w:numId="31">
    <w:abstractNumId w:val="7"/>
  </w:num>
  <w:num w:numId="32">
    <w:abstractNumId w:val="7"/>
  </w:num>
  <w:num w:numId="33">
    <w:abstractNumId w:val="1"/>
  </w:num>
  <w:num w:numId="34">
    <w:abstractNumId w:val="13"/>
    <w:lvlOverride w:ilvl="2">
      <w:startOverride w:val="1"/>
    </w:lvlOverride>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
  </w:num>
  <w:num w:numId="42">
    <w:abstractNumId w:val="1"/>
  </w:num>
  <w:num w:numId="43">
    <w:abstractNumId w:val="1"/>
    <w:lvlOverride w:ilvl="1">
      <w:startOverride w:val="1"/>
    </w:lvlOverride>
  </w:num>
  <w:num w:numId="44">
    <w:abstractNumId w:val="1"/>
    <w:lvlOverride w:ilvl="1">
      <w:startOverride w:val="1"/>
    </w:lvlOverride>
  </w:num>
  <w:num w:numId="45">
    <w:abstractNumId w:val="1"/>
    <w:lvlOverride w:ilvl="1">
      <w:startOverride w:val="1"/>
    </w:lvlOverride>
  </w:num>
</w:numbering>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e7070"/>
    <w:pPr>
      <w:widowControl/>
      <w:suppressAutoHyphens w:val="true"/>
      <w:bidi w:val="0"/>
      <w:spacing w:before="0" w:after="0"/>
      <w:jc w:val="left"/>
    </w:pPr>
    <w:rPr>
      <w:rFonts w:ascii="Arial" w:hAnsi="Arial" w:eastAsia="Times New Roman" w:cs="Tahoma"/>
      <w:color w:val="auto"/>
      <w:kern w:val="0"/>
      <w:sz w:val="20"/>
      <w:szCs w:val="24"/>
      <w:lang w:val="pt-BR" w:eastAsia="pt-BR" w:bidi="ar-SA"/>
    </w:rPr>
  </w:style>
  <w:style w:type="paragraph" w:styleId="Ttulo1">
    <w:name w:val="Heading 1"/>
    <w:basedOn w:val="Normal"/>
    <w:next w:val="Normal"/>
    <w:link w:val="Ttulo1Char"/>
    <w:qFormat/>
    <w:rsid w:val="00de7070"/>
    <w:pPr>
      <w:keepNext w:val="true"/>
      <w:keepLines/>
      <w:spacing w:before="240" w:after="0"/>
      <w:outlineLvl w:val="0"/>
    </w:pPr>
    <w:rPr>
      <w:rFonts w:ascii="Cambria" w:hAnsi="Cambria" w:eastAsia="ＭＳ ゴシック" w:cs="Times New Roman"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har"/>
    <w:qFormat/>
    <w:rsid w:val="004b460a"/>
    <w:pPr>
      <w:keepNext w:val="true"/>
      <w:tabs>
        <w:tab w:val="clear" w:pos="708"/>
        <w:tab w:val="left" w:pos="1701" w:leader="none"/>
      </w:tabs>
      <w:ind w:right="-1" w:hanging="0"/>
      <w:jc w:val="center"/>
      <w:outlineLvl w:val="1"/>
    </w:pPr>
    <w:rPr>
      <w:rFonts w:ascii="Times New Roman" w:hAnsi="Times New Roman" w:cs="Times New Roman"/>
      <w:b/>
      <w:color w:val="00000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link w:val="Textodebalo"/>
    <w:qFormat/>
    <w:rsid w:val="003a73c1"/>
    <w:rPr>
      <w:rFonts w:ascii="Tahoma" w:hAnsi="Tahoma" w:cs="Tahoma"/>
      <w:sz w:val="16"/>
      <w:szCs w:val="16"/>
    </w:rPr>
  </w:style>
  <w:style w:type="character" w:styleId="Ttulo2Char" w:customStyle="1">
    <w:name w:val="Título 2 Char"/>
    <w:link w:val="Ttulo2"/>
    <w:qFormat/>
    <w:rsid w:val="004b460a"/>
    <w:rPr>
      <w:b/>
      <w:color w:val="000000"/>
      <w:sz w:val="24"/>
    </w:rPr>
  </w:style>
  <w:style w:type="character" w:styleId="Normalchar1" w:customStyle="1">
    <w:name w:val="normal__char1"/>
    <w:qFormat/>
    <w:rsid w:val="008d51cc"/>
    <w:rPr>
      <w:rFonts w:ascii="Arial" w:hAnsi="Arial" w:cs="Arial"/>
      <w:strike w:val="false"/>
      <w:dstrike w:val="false"/>
      <w:sz w:val="24"/>
      <w:szCs w:val="24"/>
      <w:u w:val="none"/>
      <w:effect w:val="none"/>
    </w:rPr>
  </w:style>
  <w:style w:type="character" w:styleId="Applestylespan" w:customStyle="1">
    <w:name w:val="apple-style-span"/>
    <w:basedOn w:val="DefaultParagraphFont"/>
    <w:qFormat/>
    <w:rsid w:val="00260802"/>
    <w:rPr/>
  </w:style>
  <w:style w:type="character" w:styleId="LinkdaInternet">
    <w:name w:val="Link da Internet"/>
    <w:rsid w:val="00bf1a7f"/>
    <w:rPr>
      <w:color w:val="000080"/>
      <w:u w:val="single"/>
    </w:rPr>
  </w:style>
  <w:style w:type="character" w:styleId="CitaoChar" w:customStyle="1">
    <w:name w:val="Citação Char"/>
    <w:link w:val="Citao"/>
    <w:qFormat/>
    <w:rsid w:val="00c322f1"/>
    <w:rPr>
      <w:rFonts w:ascii="Ecofont_Spranq_eco_Sans" w:hAnsi="Ecofont_Spranq_eco_Sans" w:eastAsia="Calibri" w:cs="Tahoma"/>
      <w:i/>
      <w:iCs/>
      <w:color w:val="000000"/>
      <w:szCs w:val="24"/>
      <w:shd w:fill="FFFFCC" w:val="clear"/>
      <w:lang w:eastAsia="en-US"/>
    </w:rPr>
  </w:style>
  <w:style w:type="character" w:styleId="Citao2Char" w:customStyle="1">
    <w:name w:val="citação 2 Char"/>
    <w:basedOn w:val="CitaoChar"/>
    <w:link w:val="citao2"/>
    <w:qFormat/>
    <w:rsid w:val="000a23da"/>
    <w:rPr>
      <w:rFonts w:ascii="Ecofont_Spranq_eco_Sans" w:hAnsi="Ecofont_Spranq_eco_Sans" w:eastAsia="Calibri" w:cs="Tahoma"/>
      <w:i/>
      <w:iCs/>
      <w:color w:val="000000"/>
      <w:szCs w:val="24"/>
      <w:shd w:fill="FFFFCC" w:val="clear"/>
      <w:lang w:eastAsia="en-US"/>
    </w:rPr>
  </w:style>
  <w:style w:type="character" w:styleId="GradeColoridanfase1Char" w:customStyle="1">
    <w:name w:val="Grade Colorida - Ênfase 1 Char"/>
    <w:link w:val="GradeColorida-nfase11"/>
    <w:uiPriority w:val="29"/>
    <w:qFormat/>
    <w:rsid w:val="00821b3a"/>
    <w:rPr>
      <w:rFonts w:ascii="Ecofont_Spranq_eco_Sans" w:hAnsi="Ecofont_Spranq_eco_Sans" w:eastAsia="Calibri"/>
      <w:i/>
      <w:iCs/>
      <w:color w:val="000000"/>
      <w:szCs w:val="24"/>
      <w:shd w:fill="FFFFCC" w:val="clear"/>
      <w:lang w:val="x-none" w:eastAsia="en-US"/>
    </w:rPr>
  </w:style>
  <w:style w:type="character" w:styleId="CabealhoChar" w:customStyle="1">
    <w:name w:val="Cabeçalho Char"/>
    <w:basedOn w:val="DefaultParagraphFont"/>
    <w:link w:val="Cabealho"/>
    <w:qFormat/>
    <w:rsid w:val="00a3644b"/>
    <w:rPr>
      <w:rFonts w:ascii="Ecofont_Spranq_eco_Sans" w:hAnsi="Ecofont_Spranq_eco_Sans" w:cs="Tahoma"/>
      <w:sz w:val="24"/>
      <w:szCs w:val="24"/>
    </w:rPr>
  </w:style>
  <w:style w:type="character" w:styleId="RodapChar" w:customStyle="1">
    <w:name w:val="Rodapé Char"/>
    <w:basedOn w:val="DefaultParagraphFont"/>
    <w:link w:val="Rodap"/>
    <w:uiPriority w:val="99"/>
    <w:qFormat/>
    <w:rsid w:val="00a3644b"/>
    <w:rPr>
      <w:rFonts w:ascii="Ecofont_Spranq_eco_Sans" w:hAnsi="Ecofont_Spranq_eco_Sans" w:cs="Tahoma"/>
      <w:sz w:val="24"/>
      <w:szCs w:val="24"/>
    </w:rPr>
  </w:style>
  <w:style w:type="character" w:styleId="Ttulo1Char" w:customStyle="1">
    <w:name w:val="Título 1 Char"/>
    <w:basedOn w:val="DefaultParagraphFont"/>
    <w:link w:val="Ttulo1"/>
    <w:qFormat/>
    <w:rsid w:val="00de7070"/>
    <w:rPr>
      <w:rFonts w:ascii="Cambria" w:hAnsi="Cambria" w:eastAsia="ＭＳ ゴシック" w:cs="Times New Roman" w:asciiTheme="majorHAnsi" w:cstheme="majorBidi" w:eastAsiaTheme="majorEastAsia" w:hAnsiTheme="majorHAnsi"/>
      <w:color w:val="365F91" w:themeColor="accent1" w:themeShade="bf"/>
      <w:sz w:val="32"/>
      <w:szCs w:val="32"/>
    </w:rPr>
  </w:style>
  <w:style w:type="character" w:styleId="Nivel1Char" w:customStyle="1">
    <w:name w:val="Nivel1 Char"/>
    <w:basedOn w:val="Ttulo1Char"/>
    <w:link w:val="Nivel1"/>
    <w:qFormat/>
    <w:rsid w:val="00de7070"/>
    <w:rPr>
      <w:rFonts w:ascii="Arial" w:hAnsi="Arial" w:eastAsia="ＭＳ ゴシック" w:cs="Arial" w:eastAsiaTheme="majorEastAsia"/>
      <w:b/>
      <w:color w:val="000000"/>
      <w:sz w:val="32"/>
      <w:szCs w:val="32"/>
    </w:rPr>
  </w:style>
  <w:style w:type="character" w:styleId="Annotationreference">
    <w:name w:val="annotation reference"/>
    <w:basedOn w:val="DefaultParagraphFont"/>
    <w:semiHidden/>
    <w:unhideWhenUsed/>
    <w:qFormat/>
    <w:rsid w:val="00453b1d"/>
    <w:rPr>
      <w:sz w:val="18"/>
      <w:szCs w:val="18"/>
    </w:rPr>
  </w:style>
  <w:style w:type="character" w:styleId="TextodecomentrioChar" w:customStyle="1">
    <w:name w:val="Texto de comentário Char"/>
    <w:basedOn w:val="DefaultParagraphFont"/>
    <w:link w:val="Textodecomentrio"/>
    <w:qFormat/>
    <w:rsid w:val="00453b1d"/>
    <w:rPr>
      <w:rFonts w:ascii="Arial" w:hAnsi="Arial" w:cs="Tahoma"/>
      <w:sz w:val="24"/>
      <w:szCs w:val="24"/>
    </w:rPr>
  </w:style>
  <w:style w:type="character" w:styleId="AssuntodocomentrioChar" w:customStyle="1">
    <w:name w:val="Assunto do comentário Char"/>
    <w:basedOn w:val="TextodecomentrioChar"/>
    <w:link w:val="Assuntodocomentrio"/>
    <w:semiHidden/>
    <w:qFormat/>
    <w:rsid w:val="005e4cdc"/>
    <w:rPr>
      <w:rFonts w:ascii="Arial" w:hAnsi="Arial" w:cs="Tahoma"/>
      <w:b/>
      <w:bCs/>
      <w:sz w:val="24"/>
      <w:szCs w:val="24"/>
    </w:rPr>
  </w:style>
  <w:style w:type="character" w:styleId="Nivel01Char" w:customStyle="1">
    <w:name w:val="Nivel 01 Char"/>
    <w:basedOn w:val="DefaultParagraphFont"/>
    <w:link w:val="Nivel01"/>
    <w:qFormat/>
    <w:rsid w:val="00563cba"/>
    <w:rPr>
      <w:rFonts w:ascii="Ecofont_Spranq_eco_Sans" w:hAnsi="Ecofont_Spranq_eco_Sans" w:eastAsia="ＭＳ ゴシック" w:eastAsiaTheme="majorEastAsia"/>
      <w:b/>
      <w:bCs/>
      <w:color w:val="000000"/>
    </w:rPr>
  </w:style>
  <w:style w:type="character" w:styleId="Nivel01Char1" w:customStyle="1">
    <w:name w:val="Nivel_01 Char"/>
    <w:basedOn w:val="Ttulo1Char"/>
    <w:link w:val="Nivel010"/>
    <w:qFormat/>
    <w:rsid w:val="00d37dc8"/>
    <w:rPr>
      <w:rFonts w:ascii="Ecofont_Spranq_eco_Sans" w:hAnsi="Ecofont_Spranq_eco_Sans" w:eastAsia="ＭＳ ゴシック" w:cs="Times New Roman" w:cstheme="majorBidi" w:eastAsiaTheme="majorEastAsia"/>
      <w:b/>
      <w:bCs/>
      <w:color w:val="365F91" w:themeColor="accent1" w:themeShade="bf"/>
      <w:sz w:val="32"/>
      <w:szCs w:val="32"/>
    </w:rPr>
  </w:style>
  <w:style w:type="character" w:styleId="Strong">
    <w:name w:val="Strong"/>
    <w:basedOn w:val="DefaultParagraphFont"/>
    <w:uiPriority w:val="22"/>
    <w:qFormat/>
    <w:rsid w:val="00520bcd"/>
    <w:rPr>
      <w:b/>
      <w:bCs/>
    </w:rPr>
  </w:style>
  <w:style w:type="character" w:styleId="Nfase">
    <w:name w:val="Ênfase"/>
    <w:basedOn w:val="DefaultParagraphFont"/>
    <w:uiPriority w:val="20"/>
    <w:qFormat/>
    <w:rsid w:val="00520bcd"/>
    <w:rPr>
      <w:i/>
      <w:iCs/>
    </w:rPr>
  </w:style>
  <w:style w:type="character" w:styleId="Nivel2Char" w:customStyle="1">
    <w:name w:val="Nivel 2 Char"/>
    <w:basedOn w:val="DefaultParagraphFont"/>
    <w:link w:val="Nivel2"/>
    <w:qFormat/>
    <w:rsid w:val="00210b85"/>
    <w:rPr>
      <w:rFonts w:ascii="Ecofont_Spranq_eco_Sans" w:hAnsi="Ecofont_Spranq_eco_Sans" w:eastAsia="Arial Unicode MS"/>
    </w:rPr>
  </w:style>
  <w:style w:type="character" w:styleId="QuoteChar" w:customStyle="1">
    <w:name w:val="Quote Char"/>
    <w:link w:val="Citao1"/>
    <w:qFormat/>
    <w:rsid w:val="0039126b"/>
    <w:rPr>
      <w:rFonts w:ascii="Ecofont_Spranq_eco_Sans" w:hAnsi="Ecofont_Spranq_eco_Sans" w:cs="Ecofont_Spranq_eco_Sans"/>
      <w:i/>
      <w:iCs/>
      <w:color w:val="000000"/>
      <w:sz w:val="24"/>
      <w:szCs w:val="24"/>
      <w:shd w:fill="FFFFCC" w:val="clear"/>
      <w:lang w:eastAsia="en-US"/>
    </w:rPr>
  </w:style>
  <w:style w:type="character" w:styleId="Appleconvertedspace" w:customStyle="1">
    <w:name w:val="apple-converted-space"/>
    <w:basedOn w:val="DefaultParagraphFont"/>
    <w:qFormat/>
    <w:rsid w:val="00f108db"/>
    <w:rPr/>
  </w:style>
  <w:style w:type="character" w:styleId="Scaytmisspellword" w:customStyle="1">
    <w:name w:val="scayt-misspell-word"/>
    <w:basedOn w:val="DefaultParagraphFont"/>
    <w:qFormat/>
    <w:rsid w:val="00471331"/>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4773fc"/>
    <w:pPr>
      <w:spacing w:before="0" w:after="0"/>
      <w:ind w:left="720" w:hanging="0"/>
      <w:contextualSpacing/>
    </w:pPr>
    <w:r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BalloonText">
    <w:name w:val="Balloon Text"/>
    <w:basedOn w:val="Normal"/>
    <w:link w:val="TextodebaloChar"/>
    <w:qFormat/>
    <w:rsid w:val="003a73c1"/>
    <w:pPr/>
    <w:rPr>
      <w:rFonts w:ascii="Tahoma" w:hAnsi="Tahoma"/>
      <w:sz w:val="16"/>
      <w:szCs w:val="16"/>
    </w:rPr>
  </w:style>
  <w:style w:type="paragraph" w:styleId="Nvel2" w:customStyle="1">
    <w:name w:val="Nível 2"/>
    <w:basedOn w:val="Normal"/>
    <w:next w:val="Normal"/>
    <w:qFormat/>
    <w:rsid w:val="004b460a"/>
    <w:pPr>
      <w:spacing w:before="0" w:after="120"/>
      <w:jc w:val="both"/>
    </w:pPr>
    <w:rPr>
      <w:rFonts w:cs="Times New Roman"/>
      <w:b/>
      <w:szCs w:val="20"/>
    </w:rPr>
  </w:style>
  <w:style w:type="paragraph" w:styleId="Quote">
    <w:name w:val="Quote"/>
    <w:basedOn w:val="Normal"/>
    <w:next w:val="Normal"/>
    <w:link w:val="CitaoChar"/>
    <w:qFormat/>
    <w:rsid w:val="00c322f1"/>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eastAsia="Calibri"/>
      <w:i/>
      <w:iCs/>
      <w:color w:val="000000"/>
      <w:lang w:eastAsia="en-US"/>
    </w:rPr>
  </w:style>
  <w:style w:type="paragraph" w:styleId="ListBullet5">
    <w:name w:val="List Bullet 5"/>
    <w:basedOn w:val="Normal"/>
    <w:qFormat/>
    <w:rsid w:val="001a3a05"/>
    <w:pPr>
      <w:numPr>
        <w:ilvl w:val="0"/>
        <w:numId w:val="2"/>
      </w:numPr>
      <w:spacing w:before="0" w:after="0"/>
      <w:contextualSpacing/>
    </w:pPr>
    <w:rPr/>
  </w:style>
  <w:style w:type="paragraph" w:styleId="Citao2" w:customStyle="1">
    <w:name w:val="citação 2"/>
    <w:basedOn w:val="Quote"/>
    <w:link w:val="citao2Char"/>
    <w:qFormat/>
    <w:rsid w:val="000a23da"/>
    <w:pPr>
      <w:shd w:val="clear" w:fill="FFFFCC"/>
    </w:pPr>
    <w:rPr>
      <w:szCs w:val="20"/>
    </w:rPr>
  </w:style>
  <w:style w:type="paragraph" w:styleId="GradeColoridanfase11" w:customStyle="1">
    <w:name w:val="Grade Colorida - Ênfase 11"/>
    <w:basedOn w:val="Normal"/>
    <w:next w:val="Normal"/>
    <w:link w:val="GradeColorida-nfase1Char"/>
    <w:uiPriority w:val="29"/>
    <w:qFormat/>
    <w:rsid w:val="00821b3a"/>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eastAsia="Calibri" w:cs="Times New Roman"/>
      <w:i/>
      <w:iCs/>
      <w:color w:val="000000"/>
      <w:lang w:val="x-none" w:eastAsia="en-US"/>
    </w:rPr>
  </w:style>
  <w:style w:type="paragraph" w:styleId="CabealhoeRodap">
    <w:name w:val="Cabeçalho e Rodapé"/>
    <w:basedOn w:val="Normal"/>
    <w:qFormat/>
    <w:pPr/>
    <w:rPr/>
  </w:style>
  <w:style w:type="paragraph" w:styleId="Cabealho">
    <w:name w:val="Header"/>
    <w:basedOn w:val="Normal"/>
    <w:link w:val="CabealhoChar"/>
    <w:unhideWhenUsed/>
    <w:rsid w:val="00a3644b"/>
    <w:pPr>
      <w:tabs>
        <w:tab w:val="clear" w:pos="708"/>
        <w:tab w:val="center" w:pos="4252" w:leader="none"/>
        <w:tab w:val="right" w:pos="8504" w:leader="none"/>
      </w:tabs>
    </w:pPr>
    <w:rPr/>
  </w:style>
  <w:style w:type="paragraph" w:styleId="Rodap">
    <w:name w:val="Footer"/>
    <w:basedOn w:val="Normal"/>
    <w:link w:val="RodapChar"/>
    <w:uiPriority w:val="99"/>
    <w:unhideWhenUsed/>
    <w:rsid w:val="00a3644b"/>
    <w:pPr>
      <w:tabs>
        <w:tab w:val="clear" w:pos="708"/>
        <w:tab w:val="center" w:pos="4252" w:leader="none"/>
        <w:tab w:val="right" w:pos="8504" w:leader="none"/>
      </w:tabs>
    </w:pPr>
    <w:rPr/>
  </w:style>
  <w:style w:type="paragraph" w:styleId="Nivel1" w:customStyle="1">
    <w:name w:val="Nivel1"/>
    <w:basedOn w:val="Ttulo1"/>
    <w:next w:val="Normal"/>
    <w:link w:val="Nivel1Char"/>
    <w:qFormat/>
    <w:rsid w:val="00de7070"/>
    <w:pPr>
      <w:spacing w:lineRule="auto" w:line="276" w:before="480" w:after="120"/>
      <w:jc w:val="both"/>
    </w:pPr>
    <w:rPr>
      <w:rFonts w:ascii="Arial" w:hAnsi="Arial" w:cs="Arial"/>
      <w:b/>
      <w:color w:val="000000"/>
      <w:sz w:val="20"/>
      <w:szCs w:val="20"/>
    </w:rPr>
  </w:style>
  <w:style w:type="paragraph" w:styleId="Annotationtext">
    <w:name w:val="annotation text"/>
    <w:basedOn w:val="Normal"/>
    <w:link w:val="TextodecomentrioChar"/>
    <w:unhideWhenUsed/>
    <w:qFormat/>
    <w:rsid w:val="00453b1d"/>
    <w:pPr/>
    <w:rPr>
      <w:sz w:val="24"/>
    </w:rPr>
  </w:style>
  <w:style w:type="paragraph" w:styleId="Annotationsubject">
    <w:name w:val="annotation subject"/>
    <w:basedOn w:val="Annotationtext"/>
    <w:next w:val="Annotationtext"/>
    <w:link w:val="AssuntodocomentrioChar"/>
    <w:semiHidden/>
    <w:unhideWhenUsed/>
    <w:qFormat/>
    <w:rsid w:val="005e4cdc"/>
    <w:pPr/>
    <w:rPr>
      <w:b/>
      <w:bCs/>
      <w:sz w:val="20"/>
      <w:szCs w:val="20"/>
    </w:rPr>
  </w:style>
  <w:style w:type="paragraph" w:styleId="Nivel01" w:customStyle="1">
    <w:name w:val="Nivel 01"/>
    <w:basedOn w:val="Ttulo1"/>
    <w:next w:val="Normal"/>
    <w:link w:val="Nivel01Char"/>
    <w:qFormat/>
    <w:rsid w:val="00563cba"/>
    <w:pPr>
      <w:tabs>
        <w:tab w:val="clear" w:pos="708"/>
        <w:tab w:val="left" w:pos="567" w:leader="none"/>
      </w:tabs>
      <w:jc w:val="both"/>
    </w:pPr>
    <w:rPr>
      <w:rFonts w:ascii="Ecofont_Spranq_eco_Sans" w:hAnsi="Ecofont_Spranq_eco_Sans" w:cs="Times New Roman"/>
      <w:b/>
      <w:bCs/>
      <w:color w:val="000000"/>
      <w:sz w:val="20"/>
      <w:szCs w:val="20"/>
    </w:rPr>
  </w:style>
  <w:style w:type="paragraph" w:styleId="Nivel011" w:customStyle="1">
    <w:name w:val="Nivel_01"/>
    <w:basedOn w:val="Ttulo1"/>
    <w:link w:val="Nivel01Char0"/>
    <w:qFormat/>
    <w:rsid w:val="00ea46e8"/>
    <w:pPr>
      <w:tabs>
        <w:tab w:val="clear" w:pos="708"/>
        <w:tab w:val="left" w:pos="567" w:leader="none"/>
      </w:tabs>
      <w:jc w:val="both"/>
    </w:pPr>
    <w:rPr>
      <w:rFonts w:ascii="Ecofont_Spranq_eco_Sans" w:hAnsi="Ecofont_Spranq_eco_Sans" w:cs="Times New Roman"/>
      <w:b/>
      <w:bCs/>
      <w:color w:val="auto"/>
      <w:sz w:val="20"/>
      <w:szCs w:val="20"/>
    </w:rPr>
  </w:style>
  <w:style w:type="paragraph" w:styleId="SombreamentoMdio1nfase31" w:customStyle="1">
    <w:name w:val="Sombreamento Médio 1 - Ênfase 31"/>
    <w:basedOn w:val="Normal"/>
    <w:next w:val="Normal"/>
    <w:qFormat/>
    <w:rsid w:val="00323a82"/>
    <w:pPr>
      <w:pBdr>
        <w:top w:val="single" w:sz="4" w:space="1" w:color="000080"/>
        <w:left w:val="single" w:sz="4" w:space="4" w:color="000080"/>
        <w:bottom w:val="single" w:sz="4" w:space="1" w:color="000080"/>
        <w:right w:val="single" w:sz="4" w:space="4" w:color="000080"/>
      </w:pBdr>
      <w:shd w:val="clear" w:color="auto" w:fill="FFFFCC"/>
      <w:suppressAutoHyphens w:val="true"/>
      <w:spacing w:before="120" w:after="0"/>
      <w:jc w:val="both"/>
    </w:pPr>
    <w:rPr>
      <w:rFonts w:ascii="Ecofont_Spranq_eco_Sans" w:hAnsi="Ecofont_Spranq_eco_Sans" w:eastAsia="Calibri"/>
      <w:i/>
      <w:iCs/>
      <w:color w:val="000000"/>
      <w:lang w:eastAsia="zh-CN"/>
    </w:rPr>
  </w:style>
  <w:style w:type="paragraph" w:styleId="PargrafodaLista1" w:customStyle="1">
    <w:name w:val="Parágrafo da Lista1"/>
    <w:basedOn w:val="Normal"/>
    <w:qFormat/>
    <w:rsid w:val="00834300"/>
    <w:pPr>
      <w:ind w:left="720" w:hanging="0"/>
    </w:pPr>
    <w:rPr>
      <w:rFonts w:ascii="Ecofont_Spranq_eco_Sans" w:hAnsi="Ecofont_Spranq_eco_Sans" w:cs="Ecofont_Spranq_eco_Sans"/>
      <w:sz w:val="24"/>
    </w:rPr>
  </w:style>
  <w:style w:type="paragraph" w:styleId="Nivel2" w:customStyle="1">
    <w:name w:val="Nivel 2"/>
    <w:link w:val="Nivel2Char"/>
    <w:qFormat/>
    <w:rsid w:val="00210b85"/>
    <w:pPr>
      <w:widowControl/>
      <w:numPr>
        <w:ilvl w:val="0"/>
        <w:numId w:val="3"/>
      </w:numPr>
      <w:suppressAutoHyphens w:val="true"/>
      <w:bidi w:val="0"/>
      <w:spacing w:lineRule="auto" w:line="276" w:before="120" w:after="120"/>
      <w:jc w:val="both"/>
    </w:pPr>
    <w:rPr>
      <w:rFonts w:ascii="Ecofont_Spranq_eco_Sans" w:hAnsi="Ecofont_Spranq_eco_Sans" w:eastAsia="Arial Unicode MS" w:cs="Times New Roman"/>
      <w:color w:val="auto"/>
      <w:kern w:val="0"/>
      <w:sz w:val="20"/>
      <w:szCs w:val="20"/>
      <w:lang w:val="pt-BR" w:eastAsia="pt-BR" w:bidi="ar-SA"/>
    </w:rPr>
  </w:style>
  <w:style w:type="paragraph" w:styleId="Nivel11" w:customStyle="1">
    <w:name w:val="Nivel 1"/>
    <w:basedOn w:val="Nivel2"/>
    <w:next w:val="Nivel2"/>
    <w:qFormat/>
    <w:rsid w:val="00210b85"/>
    <w:pPr>
      <w:tabs>
        <w:tab w:val="clear" w:pos="708"/>
        <w:tab w:val="left" w:pos="360" w:leader="none"/>
      </w:tabs>
      <w:ind w:left="644" w:hanging="432"/>
    </w:pPr>
    <w:rPr>
      <w:rFonts w:cs="Arial"/>
      <w:b/>
    </w:rPr>
  </w:style>
  <w:style w:type="paragraph" w:styleId="Nivel3" w:customStyle="1">
    <w:name w:val="Nivel 3"/>
    <w:basedOn w:val="Nivel2"/>
    <w:qFormat/>
    <w:rsid w:val="00210b85"/>
    <w:pPr>
      <w:tabs>
        <w:tab w:val="clear" w:pos="708"/>
        <w:tab w:val="left" w:pos="360" w:leader="none"/>
      </w:tabs>
      <w:ind w:left="1922" w:hanging="0"/>
    </w:pPr>
    <w:rPr>
      <w:rFonts w:cs="Arial"/>
      <w:color w:val="000000"/>
    </w:rPr>
  </w:style>
  <w:style w:type="paragraph" w:styleId="Nivel4" w:customStyle="1">
    <w:name w:val="Nivel 4"/>
    <w:basedOn w:val="Nivel3"/>
    <w:qFormat/>
    <w:rsid w:val="00210b85"/>
    <w:pPr>
      <w:ind w:left="2491" w:hanging="0"/>
    </w:pPr>
    <w:rPr>
      <w:color w:val="auto"/>
    </w:rPr>
  </w:style>
  <w:style w:type="paragraph" w:styleId="Nivel5" w:customStyle="1">
    <w:name w:val="Nivel 5"/>
    <w:basedOn w:val="Nivel4"/>
    <w:qFormat/>
    <w:rsid w:val="00210b85"/>
    <w:pPr>
      <w:ind w:left="3485" w:hanging="0"/>
    </w:pPr>
    <w:rPr/>
  </w:style>
  <w:style w:type="paragraph" w:styleId="Citao1" w:customStyle="1">
    <w:name w:val="Citação1"/>
    <w:basedOn w:val="Normal"/>
    <w:next w:val="Normal"/>
    <w:link w:val="QuoteChar"/>
    <w:qFormat/>
    <w:rsid w:val="0039126b"/>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ascii="Ecofont_Spranq_eco_Sans" w:hAnsi="Ecofont_Spranq_eco_Sans" w:cs="Ecofont_Spranq_eco_Sans"/>
      <w:i/>
      <w:iCs/>
      <w:color w:val="000000"/>
      <w:sz w:val="24"/>
      <w:shd w:fill="FFFFCC" w:val="clear"/>
      <w:lang w:eastAsia="en-US"/>
    </w:rPr>
  </w:style>
  <w:style w:type="paragraph" w:styleId="GradeColoridanfase110" w:customStyle="1">
    <w:name w:val="Grade Colorida - Ênfase 110"/>
    <w:basedOn w:val="Normal"/>
    <w:next w:val="Normal"/>
    <w:qFormat/>
    <w:rsid w:val="00c63cfe"/>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ascii="Ecofont_Spranq_eco_Sans" w:hAnsi="Ecofont_Spranq_eco_Sans"/>
      <w:i/>
      <w:color w:val="000000"/>
      <w:sz w:val="24"/>
      <w:lang w:eastAsia="en-US"/>
    </w:rPr>
  </w:style>
  <w:style w:type="paragraph" w:styleId="WWPadro">
    <w:name w:val="WW-Padrão"/>
    <w:qFormat/>
    <w:pPr>
      <w:widowControl w:val="false"/>
      <w:suppressAutoHyphens w:val="true"/>
      <w:bidi w:val="0"/>
      <w:spacing w:lineRule="auto" w:line="276" w:before="0" w:after="200"/>
      <w:jc w:val="left"/>
    </w:pPr>
    <w:rPr>
      <w:rFonts w:ascii="Times New Roman" w:hAnsi="Times New Roman" w:eastAsia="Times New Roman" w:cs="Times New Roman"/>
      <w:color w:val="00000A"/>
      <w:kern w:val="0"/>
      <w:sz w:val="24"/>
      <w:szCs w:val="20"/>
      <w:lang w:val="pt-BR" w:eastAsia="en-US" w:bidi="ar-SA"/>
    </w:rPr>
  </w:style>
  <w:style w:type="paragraph" w:styleId="Contedodatabela">
    <w:name w:val="Conteúdo da tabela"/>
    <w:basedOn w:val="Normal"/>
    <w:qFormat/>
    <w:pPr>
      <w:suppressAutoHyphens w:val="true"/>
      <w:spacing w:lineRule="auto" w:line="259" w:before="0" w:after="160"/>
    </w:pPr>
    <w:rPr>
      <w:rFonts w:ascii="Calibri" w:hAnsi="Calibri" w:eastAsia="Calibri" w:cs="DejaVu Sans"/>
      <w:color w:val="00000A"/>
      <w:sz w:val="22"/>
      <w:szCs w:val="22"/>
      <w:lang w:eastAsia="en-U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a2471d"/>
    <w:rPr>
      <w:rFonts w:eastAsiaTheme="minorEastAsia"/>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8" ma:contentTypeDescription="Crie um novo documento." ma:contentTypeScope="" ma:versionID="c6adb248b52d453afec582584ced347e">
  <xsd:schema xmlns:xsd="http://www.w3.org/2001/XMLSchema" xmlns:xs="http://www.w3.org/2001/XMLSchema" xmlns:p="http://schemas.microsoft.com/office/2006/metadata/properties" xmlns:ns2="52c93ea8-e2de-466c-b401-d7fabeb9490e" targetNamespace="http://schemas.microsoft.com/office/2006/metadata/properties" ma:root="true" ma:fieldsID="ab6753da97a2bc317a9adb518871c3d7" ns2:_="">
    <xsd:import namespace="52c93ea8-e2de-466c-b401-d7fabeb949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3AF58-BE97-4E65-9E62-E55620ECF990}">
  <ds:schemaRefs>
    <ds:schemaRef ds:uri="http://schemas.openxmlformats.org/officeDocument/2006/bibliography"/>
  </ds:schemaRefs>
</ds:datastoreItem>
</file>

<file path=customXml/itemProps2.xml><?xml version="1.0" encoding="utf-8"?>
<ds:datastoreItem xmlns:ds="http://schemas.openxmlformats.org/officeDocument/2006/customXml" ds:itemID="{6980718D-6FE4-400B-A348-4E4AD904146E}">
  <ds:schemaRefs>
    <ds:schemaRef ds:uri="http://schemas.microsoft.com/sharepoint/v3/contenttype/forms"/>
  </ds:schemaRefs>
</ds:datastoreItem>
</file>

<file path=customXml/itemProps3.xml><?xml version="1.0" encoding="utf-8"?>
<ds:datastoreItem xmlns:ds="http://schemas.openxmlformats.org/officeDocument/2006/customXml" ds:itemID="{639B84CC-2264-4253-A596-5C5B8CD98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F4DC28-420F-4EC0-B634-F632762EE5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TR compras</Template>
  <TotalTime>292</TotalTime>
  <Application>LibreOffice/7.0.2.2$Windows_X86_64 LibreOffice_project/8349ace3c3162073abd90d81fd06dcfb6b36b994</Application>
  <Pages>10</Pages>
  <Words>3735</Words>
  <Characters>20873</Characters>
  <CharactersWithSpaces>24367</CharactersWithSpaces>
  <Paragraphs>216</Paragraphs>
  <Company>EDUARDO DOTTI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2021-04-06T18:39:00Z</dcterms:created>
  <dc:creator>Adriano</dc:creator>
  <dc:description/>
  <dc:language>pt-BR</dc:language>
  <cp:lastModifiedBy/>
  <cp:lastPrinted>2019-10-08T15:56:00Z</cp:lastPrinted>
  <dcterms:modified xsi:type="dcterms:W3CDTF">2021-09-20T13:57:59Z</dcterms:modified>
  <cp:revision>104</cp:revision>
  <dc:subject/>
  <dc:title>NOTAS EXPLICATIVAS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EDUARDO DOTTI</vt:lpwstr>
  </property>
  <property fmtid="{D5CDD505-2E9C-101B-9397-08002B2CF9AE}" pid="4" name="ContentTypeId">
    <vt:lpwstr>0x01010012A2765E7DFD38469B2E626874CD0041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