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0C4424">
      <w:pPr>
        <w:spacing w:before="0" w:after="80" w:line="274" w:lineRule="auto"/>
        <w:jc w:val="left"/>
        <w:rPr>
          <w:rFonts w:hint="default" w:ascii="Aptos" w:hAnsi="Aptos"/>
          <w:b/>
          <w:i w:val="0"/>
          <w:color w:val="0D1B31"/>
          <w:sz w:val="40"/>
          <w:lang w:val="en-US"/>
        </w:rPr>
      </w:pPr>
      <w:r>
        <w:rPr>
          <w:rFonts w:hint="default" w:ascii="Aptos" w:hAnsi="Aptos"/>
          <w:b/>
          <w:i w:val="0"/>
          <w:color w:val="0D1B31"/>
          <w:sz w:val="40"/>
          <w:lang w:val="en-US"/>
        </w:rPr>
        <w:drawing>
          <wp:inline distT="0" distB="0" distL="114300" distR="114300">
            <wp:extent cx="1391920" cy="278765"/>
            <wp:effectExtent l="0" t="0" r="17780" b="6985"/>
            <wp:docPr id="1" name="Picture 1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1920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622A715">
      <w:pPr>
        <w:spacing w:before="0" w:after="80" w:line="274" w:lineRule="auto"/>
        <w:jc w:val="center"/>
      </w:pPr>
      <w:r>
        <w:rPr>
          <w:rFonts w:ascii="Aptos" w:hAnsi="Aptos"/>
          <w:b/>
          <w:i w:val="0"/>
          <w:color w:val="0D1B31"/>
          <w:sz w:val="40"/>
        </w:rPr>
        <w:t>Fintech Brand, Landing Page &amp; Partnership Readiness</w:t>
      </w:r>
    </w:p>
    <w:p w14:paraId="2FB6F8C5">
      <w:pPr>
        <w:spacing w:before="0" w:after="360" w:line="274" w:lineRule="auto"/>
        <w:jc w:val="center"/>
      </w:pPr>
      <w:r>
        <w:rPr>
          <w:rFonts w:ascii="Aptos" w:hAnsi="Aptos"/>
          <w:b w:val="0"/>
          <w:i w:val="0"/>
          <w:color w:val="6A7C96"/>
          <w:sz w:val="21"/>
        </w:rPr>
        <w:t>Phase 1 Proposal and Indicative Product Build Budget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26CC1F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Borders>
              <w:top w:val="single" w:color="D8E0EB" w:sz="6" w:space="0"/>
              <w:left w:val="single" w:color="D8E0EB" w:sz="6" w:space="0"/>
              <w:bottom w:val="single" w:color="D8E0EB" w:sz="6" w:space="0"/>
              <w:right w:val="single" w:color="D8E0EB" w:sz="6" w:space="0"/>
            </w:tcBorders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A796A9">
            <w:pPr>
              <w:spacing w:before="0" w:after="0"/>
              <w:rPr>
                <w:rFonts w:hint="default"/>
                <w:lang w:val="en-US"/>
              </w:rPr>
            </w:pPr>
            <w:r>
              <w:rPr>
                <w:rFonts w:ascii="Aptos" w:hAnsi="Aptos"/>
                <w:b/>
                <w:color w:val="0D1B31"/>
                <w:sz w:val="18"/>
              </w:rPr>
              <w:t>Prepared by</w:t>
            </w:r>
            <w:r>
              <w:rPr>
                <w:rFonts w:ascii="Aptos" w:hAnsi="Aptos"/>
                <w:b/>
                <w:color w:val="0D1B31"/>
                <w:sz w:val="18"/>
              </w:rPr>
              <w:br w:type="textWrapping"/>
            </w:r>
            <w:r>
              <w:rPr>
                <w:rFonts w:ascii="Aptos" w:hAnsi="Aptos"/>
                <w:b/>
                <w:color w:val="0D1B31"/>
                <w:sz w:val="18"/>
              </w:rPr>
              <w:t>Digital Crib</w:t>
            </w:r>
            <w:r>
              <w:rPr>
                <w:rFonts w:hint="default"/>
                <w:b/>
                <w:color w:val="0D1B31"/>
                <w:sz w:val="18"/>
                <w:lang w:val="en-US"/>
              </w:rPr>
              <w:t xml:space="preserve"> Technologies LTD</w:t>
            </w:r>
          </w:p>
        </w:tc>
        <w:tc>
          <w:tcPr>
            <w:tcW w:w="4680" w:type="dxa"/>
            <w:tcBorders>
              <w:top w:val="single" w:color="D8E0EB" w:sz="6" w:space="0"/>
              <w:left w:val="single" w:color="D8E0EB" w:sz="6" w:space="0"/>
              <w:bottom w:val="single" w:color="D8E0EB" w:sz="6" w:space="0"/>
              <w:right w:val="single" w:color="D8E0EB" w:sz="6" w:space="0"/>
            </w:tcBorders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096EC">
            <w:pPr>
              <w:spacing w:before="0" w:after="0"/>
            </w:pPr>
            <w:r>
              <w:rPr>
                <w:rFonts w:ascii="Aptos" w:hAnsi="Aptos"/>
                <w:b/>
                <w:color w:val="0D1B31"/>
                <w:sz w:val="18"/>
              </w:rPr>
              <w:t>Immediate Phase 1 delivery</w:t>
            </w:r>
            <w:r>
              <w:rPr>
                <w:rFonts w:ascii="Aptos" w:hAnsi="Aptos"/>
                <w:b/>
                <w:color w:val="0D1B31"/>
                <w:sz w:val="18"/>
              </w:rPr>
              <w:br w:type="textWrapping"/>
            </w:r>
            <w:r>
              <w:rPr>
                <w:rFonts w:hint="default"/>
                <w:b/>
                <w:color w:val="0D1B31"/>
                <w:sz w:val="18"/>
                <w:lang w:val="en-US"/>
              </w:rPr>
              <w:t>1</w:t>
            </w:r>
            <w:r>
              <w:rPr>
                <w:rFonts w:ascii="Aptos" w:hAnsi="Aptos"/>
                <w:b/>
                <w:color w:val="0D1B31"/>
                <w:sz w:val="18"/>
              </w:rPr>
              <w:t xml:space="preserve"> weeks</w:t>
            </w:r>
          </w:p>
        </w:tc>
      </w:tr>
    </w:tbl>
    <w:p w14:paraId="37A2E6CB">
      <w:pPr>
        <w:spacing w:before="220" w:after="140" w:line="274" w:lineRule="auto"/>
      </w:pPr>
      <w:r>
        <w:rPr>
          <w:rFonts w:ascii="Aptos" w:hAnsi="Aptos"/>
          <w:b/>
          <w:i w:val="0"/>
          <w:color w:val="0052CC"/>
          <w:sz w:val="26"/>
        </w:rPr>
        <w:t>Recommended approach</w:t>
      </w:r>
    </w:p>
    <w:p w14:paraId="346BBC53">
      <w:pPr>
        <w:spacing w:before="0" w:after="160" w:line="274" w:lineRule="auto"/>
      </w:pPr>
      <w:r>
        <w:rPr>
          <w:rFonts w:ascii="Aptos" w:hAnsi="Aptos"/>
          <w:b w:val="0"/>
          <w:i w:val="0"/>
          <w:color w:val="27364B"/>
          <w:sz w:val="19"/>
        </w:rPr>
        <w:t>Start with the public-facing foundation: a confident Digital Crib identity and a conversion-focused landing page. This gives the client a credible asset for partner conversations before committing to provider integrations. The remaining module budget is reserved for implementation only after the relevant commercial and API partnerships have been secured.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0CC367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D8E0EB" w:sz="6" w:space="0"/>
              <w:left w:val="single" w:color="D8E0EB" w:sz="6" w:space="0"/>
              <w:bottom w:val="single" w:color="D8E0EB" w:sz="6" w:space="0"/>
              <w:right w:val="single" w:color="D8E0EB" w:sz="6" w:space="0"/>
            </w:tcBorders>
            <w:shd w:val="clear" w:color="auto" w:fill="EAF2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55650E">
            <w:pPr>
              <w:spacing w:before="0" w:after="0"/>
            </w:pPr>
            <w:r>
              <w:rPr>
                <w:rFonts w:ascii="Aptos" w:hAnsi="Aptos"/>
                <w:b/>
                <w:color w:val="0D1B31"/>
                <w:sz w:val="19"/>
              </w:rPr>
              <w:t>Phase 1 now: ₦500,000 for logo, brand identity, landing-page design and development.</w:t>
            </w:r>
            <w:r>
              <w:rPr>
                <w:rFonts w:ascii="Aptos" w:hAnsi="Aptos"/>
                <w:b/>
                <w:color w:val="0D1B31"/>
                <w:sz w:val="19"/>
              </w:rPr>
              <w:br w:type="textWrapping"/>
            </w:r>
            <w:r>
              <w:rPr>
                <w:rFonts w:ascii="Aptos" w:hAnsi="Aptos"/>
                <w:b/>
                <w:color w:val="0D1B31"/>
                <w:sz w:val="19"/>
              </w:rPr>
              <w:t>Later implementation budget: ₦6,</w:t>
            </w:r>
            <w:r>
              <w:rPr>
                <w:rFonts w:hint="default"/>
                <w:b/>
                <w:color w:val="0D1B31"/>
                <w:sz w:val="19"/>
                <w:lang w:val="en-US"/>
              </w:rPr>
              <w:t>8</w:t>
            </w:r>
            <w:r>
              <w:rPr>
                <w:rFonts w:ascii="Aptos" w:hAnsi="Aptos"/>
                <w:b/>
                <w:color w:val="0D1B31"/>
                <w:sz w:val="19"/>
              </w:rPr>
              <w:t>00,000 across five product modules, activated as provider partnerships are confirmed.</w:t>
            </w:r>
          </w:p>
        </w:tc>
      </w:tr>
    </w:tbl>
    <w:p w14:paraId="230BA1EE">
      <w:pPr>
        <w:spacing w:before="240" w:after="140" w:line="274" w:lineRule="auto"/>
      </w:pPr>
      <w:r>
        <w:rPr>
          <w:rFonts w:ascii="Aptos" w:hAnsi="Aptos"/>
          <w:b/>
          <w:i w:val="0"/>
          <w:color w:val="0052CC"/>
          <w:sz w:val="26"/>
        </w:rPr>
        <w:t>Phase 1 deliverables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7F6FB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tcBorders>
              <w:top w:val="single" w:color="D8E0EB" w:sz="6" w:space="0"/>
              <w:left w:val="single" w:color="D8E0EB" w:sz="6" w:space="0"/>
              <w:bottom w:val="single" w:color="D8E0EB" w:sz="6" w:space="0"/>
              <w:right w:val="single" w:color="D8E0EB" w:sz="6" w:space="0"/>
            </w:tcBorders>
            <w:shd w:val="clear" w:color="auto" w:fill="0D1B3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E994A6"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7"/>
              </w:rPr>
              <w:t>Workstream</w:t>
            </w:r>
          </w:p>
        </w:tc>
        <w:tc>
          <w:tcPr>
            <w:tcW w:w="4910" w:type="dxa"/>
            <w:tcBorders>
              <w:top w:val="single" w:color="D8E0EB" w:sz="6" w:space="0"/>
              <w:left w:val="single" w:color="D8E0EB" w:sz="6" w:space="0"/>
              <w:bottom w:val="single" w:color="D8E0EB" w:sz="6" w:space="0"/>
              <w:right w:val="single" w:color="D8E0EB" w:sz="6" w:space="0"/>
            </w:tcBorders>
            <w:shd w:val="clear" w:color="auto" w:fill="0D1B3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231D4D"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7"/>
              </w:rPr>
              <w:t>Deliverable</w:t>
            </w:r>
          </w:p>
        </w:tc>
        <w:tc>
          <w:tcPr>
            <w:tcW w:w="1750" w:type="dxa"/>
            <w:tcBorders>
              <w:top w:val="single" w:color="D8E0EB" w:sz="6" w:space="0"/>
              <w:left w:val="single" w:color="D8E0EB" w:sz="6" w:space="0"/>
              <w:bottom w:val="single" w:color="D8E0EB" w:sz="6" w:space="0"/>
              <w:right w:val="single" w:color="D8E0EB" w:sz="6" w:space="0"/>
            </w:tcBorders>
            <w:shd w:val="clear" w:color="auto" w:fill="0D1B3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B7E6E"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7"/>
              </w:rPr>
              <w:t>Cost</w:t>
            </w:r>
          </w:p>
        </w:tc>
      </w:tr>
      <w:tr w14:paraId="21E686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</w:tcPr>
          <w:p w14:paraId="7A6F4360">
            <w:pPr>
              <w:spacing w:before="0" w:after="0"/>
            </w:pPr>
            <w:r>
              <w:rPr>
                <w:rFonts w:ascii="Aptos" w:hAnsi="Aptos"/>
                <w:b w:val="0"/>
                <w:color w:val="27364B"/>
                <w:sz w:val="17"/>
              </w:rPr>
              <w:t>Logo &amp; identity</w:t>
            </w:r>
          </w:p>
        </w:tc>
        <w:tc>
          <w:tcPr>
            <w:tcW w:w="3389" w:type="dxa"/>
          </w:tcPr>
          <w:p w14:paraId="59B734A5">
            <w:pPr>
              <w:spacing w:before="0" w:after="0"/>
            </w:pPr>
            <w:r>
              <w:rPr>
                <w:rFonts w:ascii="Aptos" w:hAnsi="Aptos"/>
                <w:b w:val="0"/>
                <w:color w:val="27364B"/>
                <w:sz w:val="17"/>
              </w:rPr>
              <w:t>Logo suite, colour and type system, social/profile assets, mini brand guide and visual direction.</w:t>
            </w:r>
          </w:p>
        </w:tc>
        <w:tc>
          <w:tcPr>
            <w:tcW w:w="3389" w:type="dxa"/>
          </w:tcPr>
          <w:p w14:paraId="459D2928">
            <w:pPr>
              <w:spacing w:before="0" w:after="0"/>
              <w:jc w:val="right"/>
            </w:pPr>
            <w:r>
              <w:rPr>
                <w:rFonts w:ascii="Aptos" w:hAnsi="Aptos"/>
                <w:b w:val="0"/>
                <w:color w:val="27364B"/>
                <w:sz w:val="17"/>
              </w:rPr>
              <w:t>₦</w:t>
            </w:r>
            <w:r>
              <w:rPr>
                <w:rFonts w:hint="default"/>
                <w:b w:val="0"/>
                <w:color w:val="27364B"/>
                <w:sz w:val="17"/>
                <w:lang w:val="en-US"/>
              </w:rPr>
              <w:t>1</w:t>
            </w:r>
            <w:r>
              <w:rPr>
                <w:rFonts w:ascii="Aptos" w:hAnsi="Aptos"/>
                <w:b w:val="0"/>
                <w:color w:val="27364B"/>
                <w:sz w:val="17"/>
              </w:rPr>
              <w:t>00,000</w:t>
            </w:r>
          </w:p>
        </w:tc>
      </w:tr>
      <w:tr w14:paraId="564FF1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</w:tcPr>
          <w:p w14:paraId="2F3B5282">
            <w:pPr>
              <w:spacing w:before="0" w:after="0"/>
            </w:pPr>
            <w:r>
              <w:rPr>
                <w:rFonts w:ascii="Aptos" w:hAnsi="Aptos"/>
                <w:b w:val="0"/>
                <w:color w:val="27364B"/>
                <w:sz w:val="17"/>
              </w:rPr>
              <w:t>Landing-page design</w:t>
            </w:r>
          </w:p>
        </w:tc>
        <w:tc>
          <w:tcPr>
            <w:tcW w:w="3389" w:type="dxa"/>
          </w:tcPr>
          <w:p w14:paraId="2C2801CF">
            <w:pPr>
              <w:spacing w:before="0" w:after="0"/>
            </w:pPr>
            <w:r>
              <w:rPr>
                <w:rFonts w:ascii="Aptos" w:hAnsi="Aptos"/>
                <w:b w:val="0"/>
                <w:color w:val="27364B"/>
                <w:sz w:val="17"/>
              </w:rPr>
              <w:t>Responsive website UX, page copy direction, service overview, trust sections and partner enquiry journey.</w:t>
            </w:r>
          </w:p>
        </w:tc>
        <w:tc>
          <w:tcPr>
            <w:tcW w:w="3389" w:type="dxa"/>
          </w:tcPr>
          <w:p w14:paraId="4B56CE52">
            <w:pPr>
              <w:spacing w:before="0" w:after="0"/>
              <w:jc w:val="right"/>
            </w:pPr>
            <w:r>
              <w:rPr>
                <w:rFonts w:ascii="Aptos" w:hAnsi="Aptos"/>
                <w:b w:val="0"/>
                <w:color w:val="27364B"/>
                <w:sz w:val="17"/>
              </w:rPr>
              <w:t>₦125,000</w:t>
            </w:r>
          </w:p>
        </w:tc>
      </w:tr>
      <w:tr w14:paraId="2E44AB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</w:tcPr>
          <w:p w14:paraId="00E929F0">
            <w:pPr>
              <w:spacing w:before="0" w:after="0"/>
            </w:pPr>
            <w:r>
              <w:rPr>
                <w:rFonts w:ascii="Aptos" w:hAnsi="Aptos"/>
                <w:b w:val="0"/>
                <w:color w:val="27364B"/>
                <w:sz w:val="17"/>
              </w:rPr>
              <w:t>Landing-page build</w:t>
            </w:r>
          </w:p>
        </w:tc>
        <w:tc>
          <w:tcPr>
            <w:tcW w:w="3389" w:type="dxa"/>
          </w:tcPr>
          <w:p w14:paraId="362BFD7E">
            <w:pPr>
              <w:spacing w:before="0" w:after="0"/>
            </w:pPr>
            <w:r>
              <w:rPr>
                <w:rFonts w:ascii="Aptos" w:hAnsi="Aptos"/>
                <w:b w:val="0"/>
                <w:color w:val="27364B"/>
                <w:sz w:val="17"/>
              </w:rPr>
              <w:t>Responsive development, CMS/contact capture, analytics set-up, SEO essentials, QA and deployment support.</w:t>
            </w:r>
          </w:p>
        </w:tc>
        <w:tc>
          <w:tcPr>
            <w:tcW w:w="3389" w:type="dxa"/>
          </w:tcPr>
          <w:p w14:paraId="7A5843E6">
            <w:pPr>
              <w:spacing w:before="0" w:after="0"/>
              <w:jc w:val="right"/>
            </w:pPr>
            <w:r>
              <w:rPr>
                <w:rFonts w:ascii="Aptos" w:hAnsi="Aptos"/>
                <w:b w:val="0"/>
                <w:color w:val="27364B"/>
                <w:sz w:val="17"/>
              </w:rPr>
              <w:t>₦</w:t>
            </w:r>
            <w:r>
              <w:rPr>
                <w:rFonts w:hint="default"/>
                <w:b w:val="0"/>
                <w:color w:val="27364B"/>
                <w:sz w:val="17"/>
                <w:lang w:val="en-US"/>
              </w:rPr>
              <w:t>2</w:t>
            </w:r>
            <w:r>
              <w:rPr>
                <w:rFonts w:ascii="Aptos" w:hAnsi="Aptos"/>
                <w:b w:val="0"/>
                <w:color w:val="27364B"/>
                <w:sz w:val="17"/>
              </w:rPr>
              <w:t>75,000</w:t>
            </w:r>
          </w:p>
        </w:tc>
      </w:tr>
      <w:tr w14:paraId="69EF9D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shd w:val="clear" w:color="auto" w:fill="EAF2FF"/>
          </w:tcPr>
          <w:p w14:paraId="7E273608">
            <w:pPr>
              <w:spacing w:before="0" w:after="0"/>
            </w:pPr>
            <w:r>
              <w:rPr>
                <w:rFonts w:ascii="Aptos" w:hAnsi="Aptos"/>
                <w:b/>
                <w:color w:val="0D1B31"/>
                <w:sz w:val="17"/>
              </w:rPr>
              <w:t>Phase 1 total</w:t>
            </w:r>
          </w:p>
        </w:tc>
        <w:tc>
          <w:tcPr>
            <w:tcW w:w="3389" w:type="dxa"/>
            <w:shd w:val="clear" w:color="auto" w:fill="EAF2FF"/>
          </w:tcPr>
          <w:p w14:paraId="3ED2DB9E">
            <w:pPr>
              <w:spacing w:before="0" w:after="0"/>
            </w:pPr>
            <w:r>
              <w:rPr>
                <w:rFonts w:ascii="Aptos" w:hAnsi="Aptos"/>
                <w:b/>
                <w:color w:val="0D1B31"/>
                <w:sz w:val="17"/>
              </w:rPr>
              <w:t>Launch-ready identity and landing page for partnership outreach.</w:t>
            </w:r>
          </w:p>
        </w:tc>
        <w:tc>
          <w:tcPr>
            <w:tcW w:w="3389" w:type="dxa"/>
            <w:shd w:val="clear" w:color="auto" w:fill="EAF2FF"/>
          </w:tcPr>
          <w:p w14:paraId="79F196B1">
            <w:pPr>
              <w:spacing w:before="0" w:after="0"/>
              <w:jc w:val="right"/>
            </w:pPr>
            <w:r>
              <w:rPr>
                <w:rFonts w:ascii="Aptos" w:hAnsi="Aptos"/>
                <w:b/>
                <w:color w:val="0D1B31"/>
                <w:sz w:val="17"/>
              </w:rPr>
              <w:t>₦500,000</w:t>
            </w:r>
          </w:p>
        </w:tc>
      </w:tr>
    </w:tbl>
    <w:p w14:paraId="38017E4A">
      <w:pPr>
        <w:spacing w:before="240" w:after="140" w:line="274" w:lineRule="auto"/>
      </w:pPr>
      <w:r>
        <w:rPr>
          <w:rFonts w:ascii="Aptos" w:hAnsi="Aptos"/>
          <w:b/>
          <w:i w:val="0"/>
          <w:color w:val="0052CC"/>
          <w:sz w:val="26"/>
        </w:rPr>
        <w:t>What Phase 1 enables</w:t>
      </w:r>
    </w:p>
    <w:p w14:paraId="44506A19">
      <w:pPr>
        <w:spacing w:after="40" w:line="264" w:lineRule="auto"/>
        <w:ind w:left="259" w:hanging="216"/>
      </w:pPr>
      <w:r>
        <w:rPr>
          <w:rFonts w:ascii="Aptos" w:hAnsi="Aptos"/>
          <w:color w:val="27364B"/>
          <w:sz w:val="18"/>
        </w:rPr>
        <w:t>•  A polished public presence before outreach to crypto, card, bill-payment, travel and payment providers.</w:t>
      </w:r>
    </w:p>
    <w:p w14:paraId="6FBFD488">
      <w:pPr>
        <w:spacing w:after="40" w:line="264" w:lineRule="auto"/>
        <w:ind w:left="259" w:hanging="216"/>
      </w:pPr>
      <w:r>
        <w:rPr>
          <w:rFonts w:ascii="Aptos" w:hAnsi="Aptos"/>
          <w:color w:val="27364B"/>
          <w:sz w:val="18"/>
        </w:rPr>
        <w:t>•  Clear positioning for the planned product suite without promising live regulated services before partnerships are in place.</w:t>
      </w:r>
    </w:p>
    <w:p w14:paraId="0D57E6E1">
      <w:pPr>
        <w:spacing w:after="40" w:line="264" w:lineRule="auto"/>
        <w:ind w:left="259" w:hanging="216"/>
      </w:pPr>
      <w:r>
        <w:rPr>
          <w:rFonts w:ascii="Aptos" w:hAnsi="Aptos"/>
          <w:color w:val="27364B"/>
          <w:sz w:val="18"/>
        </w:rPr>
        <w:t>•  A structured implementation backlog and integration plan that can begin module by module after partner selection.</w:t>
      </w:r>
    </w:p>
    <w:p w14:paraId="0D98D52C">
      <w:r>
        <w:br w:type="page"/>
      </w:r>
    </w:p>
    <w:p w14:paraId="4FA9C18D">
      <w:pPr>
        <w:spacing w:before="0" w:after="140" w:line="274" w:lineRule="auto"/>
      </w:pPr>
      <w:r>
        <w:rPr>
          <w:rFonts w:ascii="Aptos" w:hAnsi="Aptos"/>
          <w:b/>
          <w:i w:val="0"/>
          <w:color w:val="0052CC"/>
          <w:sz w:val="17"/>
        </w:rPr>
        <w:t>IMPLEMENTATION BUDGET</w:t>
      </w:r>
    </w:p>
    <w:p w14:paraId="0BC71F44">
      <w:pPr>
        <w:spacing w:before="0" w:after="280" w:line="274" w:lineRule="auto"/>
      </w:pPr>
      <w:r>
        <w:rPr>
          <w:rFonts w:ascii="Aptos" w:hAnsi="Aptos"/>
          <w:b/>
          <w:i w:val="0"/>
          <w:color w:val="0D1B31"/>
          <w:sz w:val="36"/>
        </w:rPr>
        <w:t>Product modules - initiated after partnerships</w:t>
      </w:r>
    </w:p>
    <w:p w14:paraId="5B3DD0FE">
      <w:pPr>
        <w:spacing w:before="0" w:after="200" w:line="274" w:lineRule="auto"/>
      </w:pPr>
      <w:r>
        <w:rPr>
          <w:rFonts w:ascii="Aptos" w:hAnsi="Aptos"/>
          <w:b w:val="0"/>
          <w:i w:val="0"/>
          <w:color w:val="27364B"/>
          <w:sz w:val="19"/>
        </w:rPr>
        <w:t>The costs below are a scoped, indicative build budget. Each module starts only after its provider agreement, commercial terms and usable integration/API documentation are available.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0E3938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0" w:type="dxa"/>
            <w:tcBorders>
              <w:top w:val="single" w:color="D8E0EB" w:sz="6" w:space="0"/>
              <w:left w:val="single" w:color="D8E0EB" w:sz="6" w:space="0"/>
              <w:bottom w:val="single" w:color="D8E0EB" w:sz="6" w:space="0"/>
              <w:right w:val="single" w:color="D8E0EB" w:sz="6" w:space="0"/>
            </w:tcBorders>
            <w:shd w:val="clear" w:color="auto" w:fill="0D1B3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3C2786"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7"/>
              </w:rPr>
              <w:t>Module</w:t>
            </w:r>
          </w:p>
        </w:tc>
        <w:tc>
          <w:tcPr>
            <w:tcW w:w="5310" w:type="dxa"/>
            <w:tcBorders>
              <w:top w:val="single" w:color="D8E0EB" w:sz="6" w:space="0"/>
              <w:left w:val="single" w:color="D8E0EB" w:sz="6" w:space="0"/>
              <w:bottom w:val="single" w:color="D8E0EB" w:sz="6" w:space="0"/>
              <w:right w:val="single" w:color="D8E0EB" w:sz="6" w:space="0"/>
            </w:tcBorders>
            <w:shd w:val="clear" w:color="auto" w:fill="0D1B3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1EF88E"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7"/>
              </w:rPr>
              <w:t>Delivery scope</w:t>
            </w:r>
          </w:p>
        </w:tc>
        <w:tc>
          <w:tcPr>
            <w:tcW w:w="1600" w:type="dxa"/>
            <w:tcBorders>
              <w:top w:val="single" w:color="D8E0EB" w:sz="6" w:space="0"/>
              <w:left w:val="single" w:color="D8E0EB" w:sz="6" w:space="0"/>
              <w:bottom w:val="single" w:color="D8E0EB" w:sz="6" w:space="0"/>
              <w:right w:val="single" w:color="D8E0EB" w:sz="6" w:space="0"/>
            </w:tcBorders>
            <w:shd w:val="clear" w:color="auto" w:fill="0D1B3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06E08D"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7"/>
              </w:rPr>
              <w:t>Budget</w:t>
            </w:r>
          </w:p>
        </w:tc>
      </w:tr>
      <w:tr w14:paraId="03C6E2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</w:tcPr>
          <w:p w14:paraId="4C089610">
            <w:pPr>
              <w:spacing w:before="0" w:after="0"/>
            </w:pPr>
            <w:r>
              <w:rPr>
                <w:rFonts w:ascii="Aptos" w:hAnsi="Aptos"/>
                <w:b w:val="0"/>
                <w:color w:val="27364B"/>
                <w:sz w:val="17"/>
              </w:rPr>
              <w:t>Crypto module</w:t>
            </w:r>
          </w:p>
        </w:tc>
        <w:tc>
          <w:tcPr>
            <w:tcW w:w="3389" w:type="dxa"/>
          </w:tcPr>
          <w:p w14:paraId="44670545">
            <w:pPr>
              <w:spacing w:before="0" w:after="0"/>
            </w:pPr>
            <w:r>
              <w:rPr>
                <w:rFonts w:ascii="Aptos" w:hAnsi="Aptos"/>
                <w:b w:val="0"/>
                <w:color w:val="27364B"/>
                <w:sz w:val="17"/>
              </w:rPr>
              <w:t>Buy, sell and swap flows; provider integration; rates, transaction history, KYC hand-off and risk/error states.</w:t>
            </w:r>
          </w:p>
        </w:tc>
        <w:tc>
          <w:tcPr>
            <w:tcW w:w="3389" w:type="dxa"/>
          </w:tcPr>
          <w:p w14:paraId="34078635">
            <w:pPr>
              <w:spacing w:before="0" w:after="0"/>
              <w:jc w:val="right"/>
            </w:pPr>
            <w:r>
              <w:rPr>
                <w:rFonts w:ascii="Aptos" w:hAnsi="Aptos"/>
                <w:b w:val="0"/>
                <w:color w:val="27364B"/>
                <w:sz w:val="17"/>
              </w:rPr>
              <w:t>₦</w:t>
            </w:r>
            <w:r>
              <w:rPr>
                <w:rFonts w:hint="default"/>
                <w:b w:val="0"/>
                <w:color w:val="27364B"/>
                <w:sz w:val="17"/>
                <w:lang w:val="en-US"/>
              </w:rPr>
              <w:t>2</w:t>
            </w:r>
            <w:r>
              <w:rPr>
                <w:rFonts w:ascii="Aptos" w:hAnsi="Aptos"/>
                <w:b w:val="0"/>
                <w:color w:val="27364B"/>
                <w:sz w:val="17"/>
              </w:rPr>
              <w:t>,</w:t>
            </w:r>
            <w:r>
              <w:rPr>
                <w:rFonts w:hint="default"/>
                <w:b w:val="0"/>
                <w:color w:val="27364B"/>
                <w:sz w:val="17"/>
                <w:lang w:val="en-US"/>
              </w:rPr>
              <w:t>0</w:t>
            </w:r>
            <w:r>
              <w:rPr>
                <w:rFonts w:ascii="Aptos" w:hAnsi="Aptos"/>
                <w:b w:val="0"/>
                <w:color w:val="27364B"/>
                <w:sz w:val="17"/>
              </w:rPr>
              <w:t>00,000</w:t>
            </w:r>
          </w:p>
        </w:tc>
      </w:tr>
      <w:tr w14:paraId="43A7CF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</w:tcPr>
          <w:p w14:paraId="1B41FDDE">
            <w:pPr>
              <w:spacing w:before="0" w:after="0"/>
            </w:pPr>
            <w:r>
              <w:rPr>
                <w:rFonts w:ascii="Aptos" w:hAnsi="Aptos"/>
                <w:b w:val="0"/>
                <w:color w:val="27364B"/>
                <w:sz w:val="17"/>
              </w:rPr>
              <w:t>Gift card module</w:t>
            </w:r>
          </w:p>
        </w:tc>
        <w:tc>
          <w:tcPr>
            <w:tcW w:w="3389" w:type="dxa"/>
          </w:tcPr>
          <w:p w14:paraId="5FDFF98C">
            <w:pPr>
              <w:spacing w:before="0" w:after="0"/>
            </w:pPr>
            <w:r>
              <w:rPr>
                <w:rFonts w:ascii="Aptos" w:hAnsi="Aptos"/>
                <w:b w:val="0"/>
                <w:color w:val="27364B"/>
                <w:sz w:val="17"/>
              </w:rPr>
              <w:t>Catalogue, buy/sell flows, valuation, order tracking, partner/API integration and customer support states.</w:t>
            </w:r>
          </w:p>
        </w:tc>
        <w:tc>
          <w:tcPr>
            <w:tcW w:w="3389" w:type="dxa"/>
          </w:tcPr>
          <w:p w14:paraId="58B00B4B">
            <w:pPr>
              <w:spacing w:before="0" w:after="0"/>
              <w:jc w:val="right"/>
            </w:pPr>
            <w:r>
              <w:rPr>
                <w:rFonts w:ascii="Aptos" w:hAnsi="Aptos"/>
                <w:b w:val="0"/>
                <w:color w:val="27364B"/>
                <w:sz w:val="17"/>
              </w:rPr>
              <w:t>₦1,000,000</w:t>
            </w:r>
          </w:p>
        </w:tc>
      </w:tr>
      <w:tr w14:paraId="404161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</w:tcPr>
          <w:p w14:paraId="56739A70">
            <w:pPr>
              <w:spacing w:before="0" w:after="0"/>
            </w:pPr>
            <w:r>
              <w:rPr>
                <w:rFonts w:ascii="Aptos" w:hAnsi="Aptos"/>
                <w:b w:val="0"/>
                <w:color w:val="27364B"/>
                <w:sz w:val="17"/>
              </w:rPr>
              <w:t>VTU module</w:t>
            </w:r>
          </w:p>
        </w:tc>
        <w:tc>
          <w:tcPr>
            <w:tcW w:w="3389" w:type="dxa"/>
          </w:tcPr>
          <w:p w14:paraId="419F13C8">
            <w:pPr>
              <w:spacing w:before="0" w:after="0"/>
            </w:pPr>
            <w:r>
              <w:rPr>
                <w:rFonts w:ascii="Aptos" w:hAnsi="Aptos"/>
                <w:b w:val="0"/>
                <w:color w:val="27364B"/>
                <w:sz w:val="17"/>
              </w:rPr>
              <w:t>Data, airtime, betting, TV subscriptions and electricity bills; product selection, payment, fulfilment and receipt flows.</w:t>
            </w:r>
          </w:p>
        </w:tc>
        <w:tc>
          <w:tcPr>
            <w:tcW w:w="3389" w:type="dxa"/>
          </w:tcPr>
          <w:p w14:paraId="7840B595">
            <w:pPr>
              <w:spacing w:before="0" w:after="0"/>
              <w:jc w:val="right"/>
            </w:pPr>
            <w:r>
              <w:rPr>
                <w:rFonts w:ascii="Aptos" w:hAnsi="Aptos"/>
                <w:b w:val="0"/>
                <w:color w:val="27364B"/>
                <w:sz w:val="17"/>
              </w:rPr>
              <w:t>₦1,300,000</w:t>
            </w:r>
          </w:p>
        </w:tc>
      </w:tr>
      <w:tr w14:paraId="2631F3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</w:tcPr>
          <w:p w14:paraId="3323E855">
            <w:pPr>
              <w:spacing w:before="0" w:after="0"/>
            </w:pPr>
            <w:r>
              <w:rPr>
                <w:rFonts w:ascii="Aptos" w:hAnsi="Aptos"/>
                <w:b w:val="0"/>
                <w:color w:val="27364B"/>
                <w:sz w:val="17"/>
              </w:rPr>
              <w:t>Local flight module</w:t>
            </w:r>
          </w:p>
        </w:tc>
        <w:tc>
          <w:tcPr>
            <w:tcW w:w="3389" w:type="dxa"/>
          </w:tcPr>
          <w:p w14:paraId="552508B7">
            <w:pPr>
              <w:spacing w:before="0" w:after="0"/>
            </w:pPr>
            <w:r>
              <w:rPr>
                <w:rFonts w:ascii="Aptos" w:hAnsi="Aptos"/>
                <w:b w:val="0"/>
                <w:color w:val="27364B"/>
                <w:sz w:val="17"/>
              </w:rPr>
              <w:t>Search, fare details, traveller information, booking/payment journey, ticket status and provider integration.</w:t>
            </w:r>
          </w:p>
        </w:tc>
        <w:tc>
          <w:tcPr>
            <w:tcW w:w="3389" w:type="dxa"/>
          </w:tcPr>
          <w:p w14:paraId="72917AD7">
            <w:pPr>
              <w:spacing w:before="0" w:after="0"/>
              <w:jc w:val="right"/>
            </w:pPr>
            <w:r>
              <w:rPr>
                <w:rFonts w:ascii="Aptos" w:hAnsi="Aptos"/>
                <w:b w:val="0"/>
                <w:color w:val="27364B"/>
                <w:sz w:val="17"/>
              </w:rPr>
              <w:t>₦1,200,000</w:t>
            </w:r>
          </w:p>
        </w:tc>
      </w:tr>
      <w:tr w14:paraId="2EA19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</w:tcPr>
          <w:p w14:paraId="609242F0">
            <w:pPr>
              <w:spacing w:before="0" w:after="0"/>
            </w:pPr>
            <w:r>
              <w:rPr>
                <w:rFonts w:ascii="Aptos" w:hAnsi="Aptos"/>
                <w:b w:val="0"/>
                <w:color w:val="27364B"/>
                <w:sz w:val="17"/>
              </w:rPr>
              <w:t>Virtual card module</w:t>
            </w:r>
          </w:p>
        </w:tc>
        <w:tc>
          <w:tcPr>
            <w:tcW w:w="3389" w:type="dxa"/>
          </w:tcPr>
          <w:p w14:paraId="36EC0480">
            <w:pPr>
              <w:spacing w:before="0" w:after="0"/>
            </w:pPr>
            <w:r>
              <w:rPr>
                <w:rFonts w:ascii="Aptos" w:hAnsi="Aptos"/>
                <w:b w:val="0"/>
                <w:color w:val="27364B"/>
                <w:sz w:val="17"/>
              </w:rPr>
              <w:t>Card creation, funding, card controls, transaction history, security states and issuer/provider integration.</w:t>
            </w:r>
          </w:p>
        </w:tc>
        <w:tc>
          <w:tcPr>
            <w:tcW w:w="3389" w:type="dxa"/>
          </w:tcPr>
          <w:p w14:paraId="7FA2C47B">
            <w:pPr>
              <w:spacing w:before="0" w:after="0"/>
              <w:jc w:val="right"/>
            </w:pPr>
            <w:r>
              <w:rPr>
                <w:rFonts w:ascii="Aptos" w:hAnsi="Aptos"/>
                <w:b w:val="0"/>
                <w:color w:val="27364B"/>
                <w:sz w:val="17"/>
              </w:rPr>
              <w:t>₦1,300,000</w:t>
            </w:r>
          </w:p>
        </w:tc>
      </w:tr>
      <w:tr w14:paraId="3EF57C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shd w:val="clear" w:color="auto" w:fill="EAF2FF"/>
          </w:tcPr>
          <w:p w14:paraId="2CE12A64">
            <w:pPr>
              <w:spacing w:before="0" w:after="0"/>
            </w:pPr>
            <w:r>
              <w:rPr>
                <w:rFonts w:ascii="Aptos" w:hAnsi="Aptos"/>
                <w:b/>
                <w:color w:val="0D1B31"/>
                <w:sz w:val="17"/>
              </w:rPr>
              <w:t>Module implementation total</w:t>
            </w:r>
          </w:p>
        </w:tc>
        <w:tc>
          <w:tcPr>
            <w:tcW w:w="3389" w:type="dxa"/>
            <w:shd w:val="clear" w:color="auto" w:fill="EAF2FF"/>
          </w:tcPr>
          <w:p w14:paraId="0DFD903D">
            <w:pPr>
              <w:spacing w:before="0" w:after="0"/>
            </w:pPr>
            <w:r>
              <w:rPr>
                <w:rFonts w:ascii="Aptos" w:hAnsi="Aptos"/>
                <w:b/>
                <w:color w:val="0D1B31"/>
                <w:sz w:val="17"/>
              </w:rPr>
              <w:t>Five partner-dependent modules, including client and admin-facing flows, integration, QA and handover.</w:t>
            </w:r>
          </w:p>
        </w:tc>
        <w:tc>
          <w:tcPr>
            <w:tcW w:w="3389" w:type="dxa"/>
            <w:shd w:val="clear" w:color="auto" w:fill="EAF2FF"/>
          </w:tcPr>
          <w:p w14:paraId="36A5B3EF">
            <w:pPr>
              <w:spacing w:before="0" w:after="0"/>
              <w:jc w:val="right"/>
            </w:pPr>
            <w:r>
              <w:rPr>
                <w:rFonts w:ascii="Aptos" w:hAnsi="Aptos"/>
                <w:b/>
                <w:color w:val="0D1B31"/>
                <w:sz w:val="17"/>
              </w:rPr>
              <w:t>₦6,</w:t>
            </w:r>
            <w:r>
              <w:rPr>
                <w:rFonts w:hint="default"/>
                <w:b/>
                <w:color w:val="0D1B31"/>
                <w:sz w:val="17"/>
                <w:lang w:val="en-US"/>
              </w:rPr>
              <w:t>8</w:t>
            </w:r>
            <w:r>
              <w:rPr>
                <w:rFonts w:ascii="Aptos" w:hAnsi="Aptos"/>
                <w:b/>
                <w:color w:val="0D1B31"/>
                <w:sz w:val="17"/>
              </w:rPr>
              <w:t>00,000</w:t>
            </w:r>
          </w:p>
        </w:tc>
      </w:tr>
    </w:tbl>
    <w:p w14:paraId="7F91E913">
      <w:pPr>
        <w:spacing w:before="220" w:after="140" w:line="274" w:lineRule="auto"/>
      </w:pPr>
      <w:r>
        <w:rPr>
          <w:rFonts w:ascii="Aptos" w:hAnsi="Aptos"/>
          <w:b/>
          <w:i w:val="0"/>
          <w:color w:val="0052CC"/>
          <w:sz w:val="26"/>
        </w:rPr>
        <w:t>Overall investment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361E9C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00" w:type="dxa"/>
            <w:tcBorders>
              <w:top w:val="single" w:color="D8E0EB" w:sz="6" w:space="0"/>
              <w:left w:val="single" w:color="D8E0EB" w:sz="6" w:space="0"/>
              <w:bottom w:val="single" w:color="D8E0EB" w:sz="6" w:space="0"/>
              <w:right w:val="single" w:color="D8E0EB" w:sz="6" w:space="0"/>
            </w:tcBorders>
            <w:shd w:val="clear" w:color="auto" w:fill="0D1B3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EB8051"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7"/>
              </w:rPr>
              <w:t>Component</w:t>
            </w:r>
          </w:p>
        </w:tc>
        <w:tc>
          <w:tcPr>
            <w:tcW w:w="2260" w:type="dxa"/>
            <w:tcBorders>
              <w:top w:val="single" w:color="D8E0EB" w:sz="6" w:space="0"/>
              <w:left w:val="single" w:color="D8E0EB" w:sz="6" w:space="0"/>
              <w:bottom w:val="single" w:color="D8E0EB" w:sz="6" w:space="0"/>
              <w:right w:val="single" w:color="D8E0EB" w:sz="6" w:space="0"/>
            </w:tcBorders>
            <w:shd w:val="clear" w:color="auto" w:fill="0D1B3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60BD1C"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7"/>
              </w:rPr>
              <w:t>Amount (NGN)</w:t>
            </w:r>
          </w:p>
        </w:tc>
      </w:tr>
      <w:tr w14:paraId="0BBA3A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</w:tcPr>
          <w:p w14:paraId="62D6F419">
            <w:pPr>
              <w:spacing w:before="0" w:after="0"/>
            </w:pPr>
            <w:r>
              <w:rPr>
                <w:rFonts w:ascii="Aptos" w:hAnsi="Aptos"/>
                <w:b w:val="0"/>
                <w:color w:val="27364B"/>
                <w:sz w:val="18"/>
              </w:rPr>
              <w:t>Phase 1: logo, identity, landing-page design and development</w:t>
            </w:r>
          </w:p>
        </w:tc>
        <w:tc>
          <w:tcPr>
            <w:tcW w:w="5083" w:type="dxa"/>
          </w:tcPr>
          <w:p w14:paraId="4473908E">
            <w:pPr>
              <w:spacing w:before="0" w:after="0"/>
              <w:jc w:val="right"/>
            </w:pPr>
            <w:r>
              <w:rPr>
                <w:rFonts w:ascii="Aptos" w:hAnsi="Aptos"/>
                <w:b w:val="0"/>
                <w:color w:val="27364B"/>
                <w:sz w:val="18"/>
              </w:rPr>
              <w:t>₦500,000</w:t>
            </w:r>
          </w:p>
        </w:tc>
      </w:tr>
      <w:tr w14:paraId="797A76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</w:tcPr>
          <w:p w14:paraId="4EAB37EB">
            <w:pPr>
              <w:spacing w:before="0" w:after="0"/>
            </w:pPr>
            <w:r>
              <w:rPr>
                <w:rFonts w:ascii="Aptos" w:hAnsi="Aptos"/>
                <w:b w:val="0"/>
                <w:color w:val="27364B"/>
                <w:sz w:val="18"/>
              </w:rPr>
              <w:t>Partner-dependent product modules</w:t>
            </w:r>
          </w:p>
        </w:tc>
        <w:tc>
          <w:tcPr>
            <w:tcW w:w="5083" w:type="dxa"/>
          </w:tcPr>
          <w:p w14:paraId="638623B9">
            <w:pPr>
              <w:spacing w:before="0" w:after="0"/>
              <w:jc w:val="right"/>
            </w:pPr>
            <w:r>
              <w:rPr>
                <w:rFonts w:ascii="Aptos" w:hAnsi="Aptos"/>
                <w:b w:val="0"/>
                <w:color w:val="27364B"/>
                <w:sz w:val="18"/>
              </w:rPr>
              <w:t>₦6,</w:t>
            </w:r>
            <w:r>
              <w:rPr>
                <w:rFonts w:hint="default"/>
                <w:b w:val="0"/>
                <w:color w:val="27364B"/>
                <w:sz w:val="18"/>
                <w:lang w:val="en-US"/>
              </w:rPr>
              <w:t>8</w:t>
            </w:r>
            <w:r>
              <w:rPr>
                <w:rFonts w:ascii="Aptos" w:hAnsi="Aptos"/>
                <w:b w:val="0"/>
                <w:color w:val="27364B"/>
                <w:sz w:val="18"/>
              </w:rPr>
              <w:t>00,000</w:t>
            </w:r>
          </w:p>
        </w:tc>
      </w:tr>
      <w:tr w14:paraId="437F83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shd w:val="clear" w:color="auto" w:fill="EAF2FF"/>
          </w:tcPr>
          <w:p w14:paraId="3750286B">
            <w:pPr>
              <w:spacing w:before="0" w:after="0"/>
            </w:pPr>
            <w:r>
              <w:rPr>
                <w:rFonts w:ascii="Aptos" w:hAnsi="Aptos"/>
                <w:b/>
                <w:color w:val="0D1B31"/>
                <w:sz w:val="18"/>
              </w:rPr>
              <w:t>Total programme budget</w:t>
            </w:r>
          </w:p>
        </w:tc>
        <w:tc>
          <w:tcPr>
            <w:tcW w:w="5083" w:type="dxa"/>
            <w:shd w:val="clear" w:color="auto" w:fill="EAF2FF"/>
          </w:tcPr>
          <w:p w14:paraId="7519F11D">
            <w:pPr>
              <w:spacing w:before="0" w:after="0"/>
              <w:jc w:val="right"/>
            </w:pPr>
            <w:r>
              <w:rPr>
                <w:rFonts w:ascii="Aptos" w:hAnsi="Aptos"/>
                <w:b/>
                <w:color w:val="0D1B31"/>
                <w:sz w:val="18"/>
              </w:rPr>
              <w:t>₦7,</w:t>
            </w:r>
            <w:r>
              <w:rPr>
                <w:rFonts w:hint="default"/>
                <w:b/>
                <w:color w:val="0D1B31"/>
                <w:sz w:val="18"/>
                <w:lang w:val="en-US"/>
              </w:rPr>
              <w:t>3</w:t>
            </w:r>
            <w:r>
              <w:rPr>
                <w:rFonts w:ascii="Aptos" w:hAnsi="Aptos"/>
                <w:b/>
                <w:color w:val="0D1B31"/>
                <w:sz w:val="18"/>
              </w:rPr>
              <w:t>00,000</w:t>
            </w:r>
          </w:p>
        </w:tc>
      </w:tr>
    </w:tbl>
    <w:p w14:paraId="66FB5A4E">
      <w:pPr>
        <w:spacing w:before="220" w:after="140" w:line="274" w:lineRule="auto"/>
      </w:pPr>
      <w:r>
        <w:rPr>
          <w:rFonts w:ascii="Aptos" w:hAnsi="Aptos"/>
          <w:b/>
          <w:i w:val="0"/>
          <w:color w:val="0052CC"/>
          <w:sz w:val="26"/>
        </w:rPr>
        <w:t>Delivery plan and payment terms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3AA20D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tcBorders>
              <w:top w:val="single" w:color="D8E0EB" w:sz="6" w:space="0"/>
              <w:left w:val="single" w:color="D8E0EB" w:sz="6" w:space="0"/>
              <w:bottom w:val="single" w:color="D8E0EB" w:sz="6" w:space="0"/>
              <w:right w:val="single" w:color="D8E0EB" w:sz="6" w:space="0"/>
            </w:tcBorders>
            <w:shd w:val="clear" w:color="auto" w:fill="0D1B3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98A478"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7"/>
              </w:rPr>
              <w:t>Timing</w:t>
            </w:r>
          </w:p>
        </w:tc>
        <w:tc>
          <w:tcPr>
            <w:tcW w:w="4500" w:type="dxa"/>
            <w:tcBorders>
              <w:top w:val="single" w:color="D8E0EB" w:sz="6" w:space="0"/>
              <w:left w:val="single" w:color="D8E0EB" w:sz="6" w:space="0"/>
              <w:bottom w:val="single" w:color="D8E0EB" w:sz="6" w:space="0"/>
              <w:right w:val="single" w:color="D8E0EB" w:sz="6" w:space="0"/>
            </w:tcBorders>
            <w:shd w:val="clear" w:color="auto" w:fill="0D1B3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75DB23"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7"/>
              </w:rPr>
              <w:t>Milestone</w:t>
            </w:r>
          </w:p>
        </w:tc>
        <w:tc>
          <w:tcPr>
            <w:tcW w:w="2760" w:type="dxa"/>
            <w:tcBorders>
              <w:top w:val="single" w:color="D8E0EB" w:sz="6" w:space="0"/>
              <w:left w:val="single" w:color="D8E0EB" w:sz="6" w:space="0"/>
              <w:bottom w:val="single" w:color="D8E0EB" w:sz="6" w:space="0"/>
              <w:right w:val="single" w:color="D8E0EB" w:sz="6" w:space="0"/>
            </w:tcBorders>
            <w:shd w:val="clear" w:color="auto" w:fill="0D1B3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3BCFA6"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7"/>
              </w:rPr>
              <w:t>Commercial trigger</w:t>
            </w:r>
          </w:p>
        </w:tc>
      </w:tr>
      <w:tr w14:paraId="77C1A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</w:tcPr>
          <w:p w14:paraId="16BB98F8">
            <w:pPr>
              <w:spacing w:before="0" w:after="0"/>
              <w:rPr>
                <w:rFonts w:hint="default"/>
                <w:lang w:val="en-US"/>
              </w:rPr>
            </w:pPr>
            <w:r>
              <w:rPr>
                <w:rFonts w:ascii="Aptos" w:hAnsi="Aptos"/>
                <w:b w:val="0"/>
                <w:color w:val="27364B"/>
                <w:sz w:val="17"/>
              </w:rPr>
              <w:t>Weeks 1-</w:t>
            </w:r>
            <w:r>
              <w:rPr>
                <w:rFonts w:hint="default"/>
                <w:b w:val="0"/>
                <w:color w:val="27364B"/>
                <w:sz w:val="17"/>
                <w:lang w:val="en-US"/>
              </w:rPr>
              <w:t>2</w:t>
            </w:r>
          </w:p>
        </w:tc>
        <w:tc>
          <w:tcPr>
            <w:tcW w:w="3389" w:type="dxa"/>
          </w:tcPr>
          <w:p w14:paraId="7B10CCF3">
            <w:pPr>
              <w:spacing w:before="0" w:after="0"/>
            </w:pPr>
            <w:r>
              <w:rPr>
                <w:rFonts w:ascii="Aptos" w:hAnsi="Aptos"/>
                <w:b w:val="0"/>
                <w:color w:val="27364B"/>
                <w:sz w:val="17"/>
              </w:rPr>
              <w:t>Brand identity, landing-page UX, build, testing and launch.</w:t>
            </w:r>
          </w:p>
        </w:tc>
        <w:tc>
          <w:tcPr>
            <w:tcW w:w="3389" w:type="dxa"/>
          </w:tcPr>
          <w:p w14:paraId="144E54BB">
            <w:pPr>
              <w:spacing w:before="0" w:after="0"/>
            </w:pPr>
            <w:r>
              <w:rPr>
                <w:rFonts w:hint="default"/>
                <w:b w:val="0"/>
                <w:color w:val="27364B"/>
                <w:sz w:val="17"/>
                <w:lang w:val="en-US"/>
              </w:rPr>
              <w:t>100% at kick off</w:t>
            </w:r>
            <w:r>
              <w:rPr>
                <w:rFonts w:ascii="Aptos" w:hAnsi="Aptos"/>
                <w:b w:val="0"/>
                <w:color w:val="27364B"/>
                <w:sz w:val="17"/>
              </w:rPr>
              <w:t>.</w:t>
            </w:r>
          </w:p>
        </w:tc>
      </w:tr>
      <w:tr w14:paraId="1E7140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</w:tcPr>
          <w:p w14:paraId="36990F4E">
            <w:pPr>
              <w:spacing w:before="0" w:after="0"/>
            </w:pPr>
            <w:r>
              <w:rPr>
                <w:rFonts w:ascii="Aptos" w:hAnsi="Aptos"/>
                <w:b w:val="0"/>
                <w:color w:val="27364B"/>
                <w:sz w:val="17"/>
              </w:rPr>
              <w:t>After partnerships</w:t>
            </w:r>
          </w:p>
        </w:tc>
        <w:tc>
          <w:tcPr>
            <w:tcW w:w="3389" w:type="dxa"/>
          </w:tcPr>
          <w:p w14:paraId="00C67E74">
            <w:pPr>
              <w:spacing w:before="0" w:after="0"/>
            </w:pPr>
            <w:r>
              <w:rPr>
                <w:rFonts w:ascii="Aptos" w:hAnsi="Aptos"/>
                <w:b w:val="0"/>
                <w:color w:val="27364B"/>
                <w:sz w:val="17"/>
              </w:rPr>
              <w:t>Each module moves into a dedicated 4-8 week build window, depending on provider API readiness and approvals.</w:t>
            </w:r>
          </w:p>
        </w:tc>
        <w:tc>
          <w:tcPr>
            <w:tcW w:w="3389" w:type="dxa"/>
          </w:tcPr>
          <w:p w14:paraId="7F31C89A">
            <w:pPr>
              <w:spacing w:before="0" w:after="0"/>
            </w:pPr>
            <w:r>
              <w:rPr>
                <w:rFonts w:ascii="Aptos" w:hAnsi="Aptos"/>
                <w:b w:val="0"/>
                <w:color w:val="27364B"/>
                <w:sz w:val="17"/>
              </w:rPr>
              <w:t>50% at module kickoff; 30% at build review; 20% at UAT/handover.</w:t>
            </w:r>
          </w:p>
        </w:tc>
      </w:tr>
    </w:tbl>
    <w:p w14:paraId="7E9CA582">
      <w:pPr>
        <w:spacing w:before="140" w:after="0" w:line="274" w:lineRule="auto"/>
      </w:pPr>
      <w:r>
        <w:rPr>
          <w:rFonts w:ascii="Aptos" w:hAnsi="Aptos"/>
          <w:b w:val="0"/>
          <w:i/>
          <w:color w:val="6A7C96"/>
          <w:sz w:val="16"/>
        </w:rPr>
        <w:t>Exclusions: third-party licences, regulatory approvals, KYC/AML vendor fees, crypto custody or liquidity costs, card-issuer fees, travel inventory/API fees, payment processing charges, cloud hosting and any provider-specific commercial commitments. These will be contracted directly once partners are selected.</w:t>
      </w:r>
    </w:p>
    <w:sectPr>
      <w:footerReference r:id="rId5" w:type="default"/>
      <w:pgSz w:w="12240" w:h="15840"/>
      <w:pgMar w:top="893" w:right="1037" w:bottom="792" w:left="10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16F0D">
    <w:pPr>
      <w:pStyle w:val="18"/>
      <w:spacing w:before="40"/>
      <w:jc w:val="center"/>
    </w:pPr>
    <w:r>
      <w:rPr>
        <w:rFonts w:ascii="Aptos" w:hAnsi="Aptos"/>
        <w:color w:val="6A7C96"/>
        <w:sz w:val="15"/>
      </w:rPr>
      <w:t>Digital Crib | Phase 1 Brand, Landing Page &amp; Partnership Readiness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877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479</Words>
  <Characters>3184</Characters>
  <Lines>0</Lines>
  <Paragraphs>0</Paragraphs>
  <TotalTime>15</TotalTime>
  <ScaleCrop>false</ScaleCrop>
  <LinksUpToDate>false</LinksUpToDate>
  <CharactersWithSpaces>3591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Brysontech Academy</cp:lastModifiedBy>
  <dcterms:modified xsi:type="dcterms:W3CDTF">2026-07-26T20:47:44Z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eyJoZGlkIjoiYWQ5YWVkYmUyY2U5MmJkZDQ5MDgzYTRiOGVmYTY4ZWIiLCJ1c2VySWQiOiIyNzY2NDM3MzM5MjI1In0=</vt:lpwstr>
  </property>
  <property fmtid="{D5CDD505-2E9C-101B-9397-08002B2CF9AE}" pid="3" name="KSOProductBuildVer">
    <vt:lpwstr>1033-12.1.0.27458</vt:lpwstr>
  </property>
  <property fmtid="{D5CDD505-2E9C-101B-9397-08002B2CF9AE}" pid="4" name="ICV">
    <vt:lpwstr>6838DA55179544E28CBEA663E8EC0B03_12</vt:lpwstr>
  </property>
</Properties>
</file>