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1" w:lineRule="auto"/>
        <w:jc w:val="center"/>
      </w:pPr>
      <w:r>
        <w:rPr>
          <w:rFonts w:ascii="Calibri" w:hAnsi="Calibri"/>
          <w:b/>
          <w:i w:val="0"/>
          <w:color w:val="0052CC"/>
          <w:sz w:val="20"/>
        </w:rPr>
        <w:t>DIGITAL CRIB</w:t>
      </w:r>
    </w:p>
    <w:p>
      <w:pPr>
        <w:spacing w:before="0" w:after="60" w:line="271" w:lineRule="auto"/>
        <w:jc w:val="center"/>
      </w:pPr>
      <w:r>
        <w:rPr>
          <w:rFonts w:ascii="Calibri" w:hAnsi="Calibri"/>
          <w:b/>
          <w:i w:val="0"/>
          <w:color w:val="0A1628"/>
          <w:sz w:val="42"/>
        </w:rPr>
        <w:t>Fintech Brand, Landing Page &amp; Partnership Readiness</w:t>
      </w:r>
    </w:p>
    <w:p>
      <w:pPr>
        <w:spacing w:before="0" w:after="280" w:line="271" w:lineRule="auto"/>
        <w:jc w:val="center"/>
      </w:pPr>
      <w:r>
        <w:rPr>
          <w:rFonts w:ascii="Calibri" w:hAnsi="Calibri"/>
          <w:b w:val="0"/>
          <w:i w:val="0"/>
          <w:color w:val="64748B"/>
          <w:sz w:val="24"/>
        </w:rPr>
        <w:t>Phase 1 Development Proposal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r>
              <w:rPr>
                <w:rFonts w:ascii="Calibri" w:hAnsi="Calibri"/>
                <w:b/>
                <w:i w:val="0"/>
                <w:color w:val="64748B"/>
                <w:sz w:val="17"/>
              </w:rPr>
              <w:t>Prepared by</w:t>
              <w:br/>
            </w:r>
            <w:r>
              <w:rPr>
                <w:rFonts w:ascii="Calibri" w:hAnsi="Calibri"/>
                <w:b/>
                <w:i w:val="0"/>
                <w:color w:val="182033"/>
                <w:sz w:val="20"/>
              </w:rPr>
              <w:t>Digital Crib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r>
              <w:rPr>
                <w:rFonts w:ascii="Calibri" w:hAnsi="Calibri"/>
                <w:b/>
                <w:i w:val="0"/>
                <w:color w:val="64748B"/>
                <w:sz w:val="17"/>
              </w:rPr>
              <w:t>Delivery estimate</w:t>
              <w:br/>
            </w:r>
            <w:r>
              <w:rPr>
                <w:rFonts w:ascii="Calibri" w:hAnsi="Calibri"/>
                <w:b/>
                <w:i w:val="0"/>
                <w:color w:val="182033"/>
                <w:sz w:val="20"/>
              </w:rPr>
              <w:t>8 weeks</w:t>
            </w:r>
          </w:p>
        </w:tc>
      </w:tr>
    </w:tbl>
    <w:p>
      <w:pPr>
        <w:spacing w:before="180" w:after="100" w:line="271" w:lineRule="auto"/>
      </w:pPr>
      <w:r>
        <w:rPr>
          <w:rFonts w:ascii="Calibri" w:hAnsi="Calibri"/>
          <w:b/>
          <w:i w:val="0"/>
          <w:color w:val="0052CC"/>
          <w:sz w:val="27"/>
        </w:rPr>
        <w:t>Phase 1 objective</w:t>
      </w:r>
    </w:p>
    <w:p>
      <w:pPr>
        <w:spacing w:before="0" w:after="120" w:line="271" w:lineRule="auto"/>
      </w:pPr>
      <w:r>
        <w:rPr>
          <w:rFonts w:ascii="Calibri" w:hAnsi="Calibri"/>
          <w:b w:val="0"/>
          <w:i w:val="0"/>
          <w:color w:val="182033"/>
          <w:sz w:val="20"/>
        </w:rPr>
        <w:t>Before integrating financial-service providers, we will establish a credible market presence and a partner-ready product foundation. This phase gives the client a distinct brand, a high-conversion landing page, and clear product/technical materials to support discussions with crypto, gift-card, bill-payment, virtual-card and travel partners.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BBD5FA"/>
              <w:left w:val="single" w:sz="4" w:color="BBD5FA"/>
              <w:bottom w:val="single" w:sz="4" w:color="BBD5FA"/>
              <w:right w:val="single" w:sz="4" w:color="BBD5FA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052CC"/>
                <w:sz w:val="19"/>
              </w:rPr>
              <w:t>Phase 1 investment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₦7,000,000 over 8 weeks. This phase delivers the brand and launch-ready digital presence first; regulated service integrations begin only after appropriate providers and commercial agreements are secured.</w:t>
            </w:r>
          </w:p>
        </w:tc>
      </w:tr>
    </w:tbl>
    <w:p>
      <w:pPr>
        <w:spacing w:before="180" w:after="100" w:line="271" w:lineRule="auto"/>
      </w:pPr>
      <w:r>
        <w:rPr>
          <w:rFonts w:ascii="Calibri" w:hAnsi="Calibri"/>
          <w:b/>
          <w:i w:val="0"/>
          <w:color w:val="0052CC"/>
          <w:sz w:val="27"/>
        </w:rPr>
        <w:t>Included deliverables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Logo &amp; brand identity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Logo system, colour palette, typography, social/profile assets, brand usage guide and visual direction.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Landing page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Responsive, conversion-focused website with service overview, trust content, waitlist/contact capture and analytics-ready structure.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Product experience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Clickable UX direction for Buy/Sell/Swap Crypto, Gift Cards, Data/Airtime, Betting, TV, Virtual Cards, Electricity and Flight Booking.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Partnership readiness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Partner deck, feature/API requirements, service-provider shortlist criteria, integration architecture and launch dependency register.</w:t>
            </w:r>
          </w:p>
        </w:tc>
      </w:tr>
    </w:tbl>
    <w:p>
      <w:pPr>
        <w:spacing w:before="180" w:after="100" w:line="271" w:lineRule="auto"/>
      </w:pPr>
      <w:r>
        <w:rPr>
          <w:rFonts w:ascii="Calibri" w:hAnsi="Calibri"/>
          <w:b/>
          <w:i w:val="0"/>
          <w:color w:val="0052CC"/>
          <w:sz w:val="27"/>
        </w:rPr>
        <w:t>What this phase prepares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i w:val="0"/>
          <w:color w:val="182033"/>
          <w:sz w:val="19"/>
        </w:rPr>
        <w:t>A credible public identity and landing page before client outreach begins.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i w:val="0"/>
          <w:color w:val="182033"/>
          <w:sz w:val="19"/>
        </w:rPr>
        <w:t>Clear requirements for partners supplying crypto, cards, bills, travel inventory and payment rails.</w:t>
      </w:r>
    </w:p>
    <w:p>
      <w:pPr>
        <w:pStyle w:val="ListBullet"/>
        <w:spacing w:after="40" w:line="264" w:lineRule="auto"/>
      </w:pPr>
      <w:r>
        <w:rPr>
          <w:rFonts w:ascii="Calibri" w:hAnsi="Calibri"/>
          <w:b w:val="0"/>
          <w:i w:val="0"/>
          <w:color w:val="182033"/>
          <w:sz w:val="19"/>
        </w:rPr>
        <w:t>A prioritised MVP backlog and integration plan, ready to move into the full application build once partnerships are confirmed.</w:t>
      </w:r>
    </w:p>
    <w:p>
      <w:r>
        <w:br w:type="page"/>
      </w:r>
    </w:p>
    <w:p>
      <w:pPr>
        <w:spacing w:before="0" w:after="80" w:line="271" w:lineRule="auto"/>
      </w:pPr>
      <w:r>
        <w:rPr>
          <w:rFonts w:ascii="Calibri" w:hAnsi="Calibri"/>
          <w:b/>
          <w:i w:val="0"/>
          <w:color w:val="0052CC"/>
          <w:sz w:val="20"/>
        </w:rPr>
        <w:t>TIMELINE &amp; COMMERCIALS</w:t>
      </w:r>
    </w:p>
    <w:p>
      <w:pPr>
        <w:spacing w:before="0" w:after="200" w:line="271" w:lineRule="auto"/>
      </w:pPr>
      <w:r>
        <w:rPr>
          <w:rFonts w:ascii="Calibri" w:hAnsi="Calibri"/>
          <w:b/>
          <w:i w:val="0"/>
          <w:color w:val="0A1628"/>
          <w:sz w:val="40"/>
        </w:rPr>
        <w:t>8-week delivery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output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Weeks 1-2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Brand discovery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Naming/positioning workshop, logo exploration, identity system and approval.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Weeks 3-4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Landing-page UX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Information architecture, copy direction, wireframes and high-fidelity responsive design.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Weeks 5-6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Build &amp; content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Landing-page development, CMS/contact capture, analytics hooks, SEO basics and QA.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Weeks 7-8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Partner readiness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Service flows, partner deck, integration requirements, provider evaluation criteria and handover.</w:t>
            </w:r>
          </w:p>
        </w:tc>
      </w:tr>
    </w:tbl>
    <w:p>
      <w:pPr>
        <w:spacing w:before="180" w:after="100" w:line="271" w:lineRule="auto"/>
      </w:pPr>
      <w:r>
        <w:rPr>
          <w:rFonts w:ascii="Calibri" w:hAnsi="Calibri"/>
          <w:b/>
          <w:i w:val="0"/>
          <w:color w:val="0052CC"/>
          <w:sz w:val="27"/>
        </w:rPr>
        <w:t>Cost breakdown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 (NGN)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Brand strategy, logo &amp; identity system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₦1,200,000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Landing-page UX, copy direction &amp; responsive design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₦1,300,000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Landing-page development, CMS/contact capture &amp; analytics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₦1,500,000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Product UX for the eight financial-service journeys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₦1,000,000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Partner deck, integration requirements &amp; provider readiness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₦900,000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Technical architecture, security/compliance readiness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₦800,000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QA, launch support, project management &amp; handover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₦300,000</w:t>
            </w:r>
          </w:p>
        </w:tc>
      </w:tr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2033"/>
                <w:sz w:val="18"/>
              </w:rPr>
              <w:t>Total Phase 1 investment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₦7,000,000</w:t>
            </w:r>
          </w:p>
        </w:tc>
      </w:tr>
    </w:tbl>
    <w:p>
      <w:pPr>
        <w:spacing w:before="180" w:after="100" w:line="271" w:lineRule="auto"/>
      </w:pPr>
      <w:r>
        <w:rPr>
          <w:rFonts w:ascii="Calibri" w:hAnsi="Calibri"/>
          <w:b/>
          <w:i w:val="0"/>
          <w:color w:val="0052CC"/>
          <w:sz w:val="27"/>
        </w:rPr>
        <w:t>Payment terms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Payment point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0A1628"/>
              <w:left w:val="single" w:sz="4" w:color="0A1628"/>
              <w:bottom w:val="single" w:sz="4" w:color="0A1628"/>
              <w:right w:val="single" w:sz="4" w:color="0A1628"/>
            </w:tcBorders>
            <w:shd w:fill="0A1628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50% kickoff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₦3,500,000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Due on approval; begins brand discovery and landing-page work.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30% design approval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₦2,100,000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shd w:fill="F6F8FB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Due after approved brand identity and landing-page design.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20% handover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₦1,400,000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8"/>
              </w:rPr>
              <w:t>Due on website launch and partnership-readiness handover.</w:t>
            </w:r>
          </w:p>
        </w:tc>
      </w:tr>
    </w:tbl>
    <w:p>
      <w:pPr>
        <w:spacing w:before="0" w:after="0" w:line="271" w:lineRule="auto"/>
      </w:pPr>
      <w:r>
        <w:rPr>
          <w:rFonts w:ascii="Calibri" w:hAnsi="Calibri"/>
          <w:b w:val="0"/>
          <w:i/>
          <w:color w:val="64748B"/>
          <w:sz w:val="17"/>
        </w:rPr>
        <w:t>Excluded from Phase 1: third-party licences, regulated-provider contracts, KYC/payment/crypto/card/travel API fees, transaction fees, cloud hosting and the later mobile-app/backend build. Those items will be scoped once the client has selected partners and confirmed their commercial terms.</w:t>
      </w:r>
    </w:p>
    <w:sectPr w:rsidR="00FC693F" w:rsidRPr="0006063C" w:rsidSect="00034616">
      <w:footerReference w:type="default" r:id="rId9"/>
      <w:pgSz w:w="12240" w:h="15840"/>
      <w:pgMar w:top="979" w:right="1440" w:bottom="864" w:left="144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6"/>
      </w:rPr>
      <w:t>Digital Crib | Brand, Landing Page &amp; Partnership Readiness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