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Solution Algorithm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1. Define array of ratio of baffle height to baffle spacing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428625" cy="20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2. Define array of the fraction of the maximum collision potential that could be achieved if the energy dissipation rate was uniformly distributed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33375" cy="20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3. Define array of collision potential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33375" cy="209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4. Define array of minor loss coefficients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238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5. Define array of maximum energy dissipation rate over average energy dissipation rate from experimental results (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14325" cy="209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 xml:space="preserve">6. Use linear interpolation of the experimental results to create functions </w:t>
      </w:r>
      <w:proofErr w:type="gramStart"/>
      <w:r w:rsidRPr="00332C75">
        <w:rPr>
          <w:rFonts w:ascii="Arial" w:hAnsi="Arial" w:cs="Arial"/>
          <w:sz w:val="20"/>
          <w:szCs w:val="20"/>
        </w:rPr>
        <w:t xml:space="preserve">for </w:t>
      </w:r>
      <w:proofErr w:type="gramEnd"/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390525" cy="209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noProof/>
          <w:position w:val="-15"/>
          <w:sz w:val="20"/>
          <w:szCs w:val="20"/>
          <w:lang w:eastAsia="zh-CN"/>
        </w:rPr>
        <w:drawing>
          <wp:inline distT="0" distB="0" distL="0" distR="0">
            <wp:extent cx="1619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32C75">
        <w:rPr>
          <w:rFonts w:ascii="Arial" w:hAnsi="Arial" w:cs="Arial"/>
          <w:sz w:val="20"/>
          <w:szCs w:val="20"/>
        </w:rPr>
        <w:t xml:space="preserve">. Create a function that determines the number of spaces in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channel and another function that determines the spacing between the baffles.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Create an iterative solution to solve for the space between the baffles since we don’t know H/S before calculating S.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Create a function for the collision potential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Create a function for the maximum energy dissipation rate.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Create an algorithm to find the target energy dissipation rate as a function of the collision potential.</w:t>
      </w:r>
    </w:p>
    <w:p w:rsidR="00A94A36" w:rsidRPr="00332C75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Create an algorithm to find the number of spaces in each channel with the correct energy dissipation rate and cumulative collision potential.</w:t>
      </w:r>
    </w:p>
    <w:p w:rsidR="00474491" w:rsidRDefault="00474491"/>
    <w:sectPr w:rsidR="00474491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4A36"/>
    <w:rsid w:val="00474491"/>
    <w:rsid w:val="009D1E27"/>
    <w:rsid w:val="00A9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36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3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>ACCEL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2009-09-24T18:46:00Z</dcterms:created>
  <dcterms:modified xsi:type="dcterms:W3CDTF">2009-09-24T18:50:00Z</dcterms:modified>
</cp:coreProperties>
</file>