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2799"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1. Verena Schreiner's 2023 Article</w:t>
      </w:r>
    </w:p>
    <w:p w14:paraId="18BFEED4"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Full Title: Standard Versus Natural: Assessing the Impact of Environmental Variables on Organic Matter Decomposition in Streams Using Three Substrates (Environmental Toxicology and Chemistry, 42(9):2007-2018, DOI: 10.1002/etc.5577).​</w:t>
      </w:r>
    </w:p>
    <w:p w14:paraId="1639F11E" w14:textId="7AABB615" w:rsidR="00EB25F7" w:rsidRPr="001D6D44" w:rsidRDefault="00EB25F7" w:rsidP="001D6D44">
      <w:pPr>
        <w:rPr>
          <w:rFonts w:ascii="Times New Roman" w:hAnsi="Times New Roman" w:cs="Times New Roman"/>
        </w:rPr>
      </w:pPr>
      <w:r w:rsidRPr="001D6D44">
        <w:rPr>
          <w:rFonts w:ascii="Times New Roman" w:hAnsi="Times New Roman" w:cs="Times New Roman"/>
        </w:rPr>
        <w:t>Summary:</w:t>
      </w:r>
      <w:r w:rsidRPr="001D6D44">
        <w:rPr>
          <w:rFonts w:ascii="Times New Roman" w:hAnsi="Times New Roman" w:cs="Times New Roman"/>
        </w:rPr>
        <w:br/>
        <w:t xml:space="preserve">Researchers deployed three substrates across 70 German streams: natural black alder leaves, decotabs (cellulose tablets), and cotton strips. They measured microbial decomposition (fine-mesh bags excluding shredders) and total decomposition (coarse-mesh </w:t>
      </w:r>
      <w:r w:rsidR="001D6D44">
        <w:rPr>
          <w:rFonts w:ascii="Times New Roman" w:hAnsi="Times New Roman" w:cs="Times New Roman"/>
        </w:rPr>
        <w:t xml:space="preserve">bags </w:t>
      </w:r>
      <w:r w:rsidRPr="001D6D44">
        <w:rPr>
          <w:rFonts w:ascii="Times New Roman" w:hAnsi="Times New Roman" w:cs="Times New Roman"/>
        </w:rPr>
        <w:t>allowing shredders).</w:t>
      </w:r>
    </w:p>
    <w:p w14:paraId="47E3C4EB"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Key Findings:</w:t>
      </w:r>
    </w:p>
    <w:p w14:paraId="08064DFB" w14:textId="64C100FC" w:rsidR="00EB25F7" w:rsidRPr="001D6D44" w:rsidRDefault="00EB25F7" w:rsidP="001D6D44">
      <w:pPr>
        <w:rPr>
          <w:rFonts w:ascii="Times New Roman" w:hAnsi="Times New Roman" w:cs="Times New Roman"/>
        </w:rPr>
      </w:pPr>
      <w:r w:rsidRPr="001D6D44">
        <w:rPr>
          <w:rFonts w:ascii="Times New Roman" w:hAnsi="Times New Roman" w:cs="Times New Roman"/>
        </w:rPr>
        <w:t>Weak/no correlation between natural leaves and artificial substrates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&lt;0.05</m:t>
        </m:r>
      </m:oMath>
      <w:r w:rsidRPr="001D6D44">
        <w:rPr>
          <w:rFonts w:ascii="Times New Roman" w:hAnsi="Times New Roman" w:cs="Times New Roman"/>
        </w:rPr>
        <w:t>); cotton/decotabs moderately correlated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=0.21</m:t>
        </m:r>
      </m:oMath>
      <w:r w:rsidRPr="001D6D44">
        <w:rPr>
          <w:rFonts w:ascii="Times New Roman" w:hAnsi="Times New Roman" w:cs="Times New Roman"/>
        </w:rPr>
        <w:t>).</w:t>
      </w:r>
    </w:p>
    <w:p w14:paraId="74EA4B28" w14:textId="6AB5505C" w:rsidR="00EB25F7" w:rsidRPr="001D6D44" w:rsidRDefault="00EB25F7" w:rsidP="001D6D44">
      <w:pPr>
        <w:rPr>
          <w:rFonts w:ascii="Times New Roman" w:hAnsi="Times New Roman" w:cs="Times New Roman"/>
        </w:rPr>
      </w:pPr>
      <w:r w:rsidRPr="001D6D44">
        <w:rPr>
          <w:rFonts w:ascii="Times New Roman" w:hAnsi="Times New Roman" w:cs="Times New Roman"/>
        </w:rPr>
        <w:t>Different environmental drivers per substrate: leaves driven by shredders/nutrients; standards by physic</w:t>
      </w:r>
      <w:r w:rsidR="001D6D44">
        <w:rPr>
          <w:rFonts w:ascii="Times New Roman" w:hAnsi="Times New Roman" w:cs="Times New Roman"/>
        </w:rPr>
        <w:t xml:space="preserve">al </w:t>
      </w:r>
      <w:r w:rsidRPr="001D6D44">
        <w:rPr>
          <w:rFonts w:ascii="Times New Roman" w:hAnsi="Times New Roman" w:cs="Times New Roman"/>
        </w:rPr>
        <w:t>chemistry/pesticides.</w:t>
      </w:r>
    </w:p>
    <w:p w14:paraId="5B52277A"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Stability selection (Meinshausen &amp; Bühlmann, 2010) showed opposing effects (e.g., nutrients sped leaves but slowed cotton).​</w:t>
      </w:r>
    </w:p>
    <w:p w14:paraId="79C16D60" w14:textId="5500F785" w:rsidR="00EB25F7" w:rsidRPr="001D6D44" w:rsidRDefault="00EB25F7" w:rsidP="001D6D44">
      <w:pPr>
        <w:rPr>
          <w:rFonts w:ascii="Times New Roman" w:hAnsi="Times New Roman" w:cs="Times New Roman"/>
        </w:rPr>
      </w:pPr>
      <w:r w:rsidRPr="001D6D44">
        <w:rPr>
          <w:rFonts w:ascii="Times New Roman" w:hAnsi="Times New Roman" w:cs="Times New Roman"/>
        </w:rPr>
        <w:t xml:space="preserve">Conclusion: Standardized substrates fail as surrogates for natural leaf decomposition (Schreiner et al., </w:t>
      </w:r>
      <w:r w:rsidR="001D6D44" w:rsidRPr="001D6D44">
        <w:rPr>
          <w:rFonts w:ascii="Times New Roman" w:hAnsi="Times New Roman" w:cs="Times New Roman"/>
        </w:rPr>
        <w:t>2023)</w:t>
      </w:r>
      <w:r w:rsidRPr="001D6D44">
        <w:rPr>
          <w:rFonts w:ascii="Times New Roman" w:hAnsi="Times New Roman" w:cs="Times New Roman"/>
        </w:rPr>
        <w:t>. This justifies my exclusive use of natural leaf litter to accurately capture microbial/total rates and macroinvertebrate contributions in Kinzig/Boye/Emscher.​</w:t>
      </w:r>
    </w:p>
    <w:p w14:paraId="0C8DF7F6" w14:textId="0BB6EACB" w:rsidR="00EB25F7" w:rsidRPr="001D6D44" w:rsidRDefault="00EB25F7" w:rsidP="001D6D44">
      <w:pPr>
        <w:rPr>
          <w:rFonts w:ascii="Times New Roman" w:hAnsi="Times New Roman" w:cs="Times New Roman"/>
        </w:rPr>
      </w:pPr>
      <w:r w:rsidRPr="001D6D44">
        <w:rPr>
          <w:rFonts w:ascii="Times New Roman" w:hAnsi="Times New Roman" w:cs="Times New Roman"/>
        </w:rPr>
        <w:t>2. Thesis Proposal</w:t>
      </w:r>
    </w:p>
    <w:p w14:paraId="3D6E440D" w14:textId="6F986264" w:rsidR="00EB25F7" w:rsidRPr="001D6D44" w:rsidRDefault="00EB25F7" w:rsidP="001D6D44">
      <w:pPr>
        <w:rPr>
          <w:rFonts w:ascii="Times New Roman" w:hAnsi="Times New Roman" w:cs="Times New Roman"/>
        </w:rPr>
      </w:pPr>
      <w:r w:rsidRPr="001D6D44">
        <w:rPr>
          <w:rFonts w:ascii="Times New Roman" w:hAnsi="Times New Roman" w:cs="Times New Roman"/>
        </w:rPr>
        <w:t>Title: Assessing Microbial and Total Leaf Decomposition Across Rural-Urban Gradients: Kinzig, Boye, and Emscher Catchments, Germany</w:t>
      </w:r>
    </w:p>
    <w:p w14:paraId="114BB321"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Question 1: Land Use Impact</w:t>
      </w:r>
      <w:r w:rsidRPr="001D6D44">
        <w:rPr>
          <w:rFonts w:ascii="Times New Roman" w:hAnsi="Times New Roman" w:cs="Times New Roman"/>
        </w:rPr>
        <w:br/>
        <w:t>RQ: How does rural versus urban land use affect microbial decomposition rates and total decomposition rates of leaf litter?</w:t>
      </w:r>
      <w:r w:rsidRPr="001D6D44">
        <w:rPr>
          <w:rFonts w:ascii="Times New Roman" w:hAnsi="Times New Roman" w:cs="Times New Roman"/>
        </w:rPr>
        <w:br/>
        <w:t>Hypothesis (H1): Total decomposition rates will be significantly lower in urban stream sections than in rural sections because urban pollution and runoff reduce populations of shredder macroinvertebrates. Microbial decomposition rates will be similar between rural and urban sections, or potentially higher in urban areas due to nutrient enrichment.</w:t>
      </w:r>
    </w:p>
    <w:p w14:paraId="2023A353" w14:textId="3844F602" w:rsidR="00EB25F7" w:rsidRPr="001D6D44" w:rsidRDefault="00EB25F7" w:rsidP="001D6D44">
      <w:pPr>
        <w:rPr>
          <w:rFonts w:ascii="Times New Roman" w:hAnsi="Times New Roman" w:cs="Times New Roman"/>
        </w:rPr>
      </w:pPr>
      <w:r w:rsidRPr="001D6D44">
        <w:rPr>
          <w:rFonts w:ascii="Times New Roman" w:hAnsi="Times New Roman" w:cs="Times New Roman"/>
        </w:rPr>
        <w:t>Question 2: Catchment Dynamics</w:t>
      </w:r>
      <w:r w:rsidRPr="001D6D44">
        <w:rPr>
          <w:rFonts w:ascii="Times New Roman" w:hAnsi="Times New Roman" w:cs="Times New Roman"/>
        </w:rPr>
        <w:br/>
        <w:t>RQ: How do leaf decomposition rates and macroinvertebrate contributions differ among the Kinzig, Boye, and Emscher catchments?</w:t>
      </w:r>
      <w:r w:rsidRPr="001D6D44">
        <w:rPr>
          <w:rFonts w:ascii="Times New Roman" w:hAnsi="Times New Roman" w:cs="Times New Roman"/>
        </w:rPr>
        <w:br/>
        <w:t>Hypothesis (H2): The Kinzig catchment (</w:t>
      </w:r>
      <w:r w:rsidR="00986A70" w:rsidRPr="001D6D44">
        <w:rPr>
          <w:rFonts w:ascii="Times New Roman" w:hAnsi="Times New Roman" w:cs="Times New Roman"/>
        </w:rPr>
        <w:t>mostly</w:t>
      </w:r>
      <w:r w:rsidRPr="001D6D44">
        <w:rPr>
          <w:rFonts w:ascii="Times New Roman" w:hAnsi="Times New Roman" w:cs="Times New Roman"/>
        </w:rPr>
        <w:t xml:space="preserve"> rural/agricultural) will exhibit higher total decomposition rates and greater macroinvertebrate contributions compared to the urban/industrial</w:t>
      </w:r>
      <w:r w:rsidR="00986A70" w:rsidRPr="001D6D44">
        <w:rPr>
          <w:rFonts w:ascii="Times New Roman" w:hAnsi="Times New Roman" w:cs="Times New Roman"/>
        </w:rPr>
        <w:t xml:space="preserve"> and renatured</w:t>
      </w:r>
      <w:r w:rsidRPr="001D6D44">
        <w:rPr>
          <w:rFonts w:ascii="Times New Roman" w:hAnsi="Times New Roman" w:cs="Times New Roman"/>
        </w:rPr>
        <w:t xml:space="preserve"> Boye and Emscher catchments. The Emscher and Boye will show decomposition dominated by microbial processes due to historical industrial pollution and reduced shredder recovery (Tolkkinen et al., 2016).</w:t>
      </w:r>
    </w:p>
    <w:p w14:paraId="123D72AF"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lastRenderedPageBreak/>
        <w:t>Question 3: Decomposer Contributions</w:t>
      </w:r>
      <w:r w:rsidRPr="001D6D44">
        <w:rPr>
          <w:rFonts w:ascii="Times New Roman" w:hAnsi="Times New Roman" w:cs="Times New Roman"/>
        </w:rPr>
        <w:br/>
        <w:t>RQ: What is the relative contribution of microbial decomposers versus macroinvertebrate shredders to total leaf litter decomposition across land-use gradients?</w:t>
      </w:r>
      <w:r w:rsidRPr="001D6D44">
        <w:rPr>
          <w:rFonts w:ascii="Times New Roman" w:hAnsi="Times New Roman" w:cs="Times New Roman"/>
        </w:rPr>
        <w:br/>
        <w:t>Hypothesis (H3): In rural sites, total decomposition rates (coarse-mesh bags) will substantially exceed microbial decomposition rates (fine-mesh bags), indicating significant shredder contribution. In urban sites, microbial and total decomposition rates will be nearly identical, showing minimal macroinvertebrate contribution (Schreiner et al., 2023).</w:t>
      </w:r>
    </w:p>
    <w:p w14:paraId="110EB58B" w14:textId="56A3BBF2" w:rsidR="00EB25F7" w:rsidRPr="001D6D44" w:rsidRDefault="00EB25F7" w:rsidP="001D6D44">
      <w:pPr>
        <w:rPr>
          <w:rFonts w:ascii="Times New Roman" w:hAnsi="Times New Roman" w:cs="Times New Roman"/>
        </w:rPr>
      </w:pPr>
      <w:r w:rsidRPr="001D6D44">
        <w:rPr>
          <w:rFonts w:ascii="Times New Roman" w:hAnsi="Times New Roman" w:cs="Times New Roman"/>
        </w:rPr>
        <w:t>3. Data Analysis</w:t>
      </w:r>
    </w:p>
    <w:p w14:paraId="7362F16C" w14:textId="2C27293E" w:rsidR="00B67F70" w:rsidRPr="001D6D44" w:rsidRDefault="00EB25F7" w:rsidP="001D6D44">
      <w:pPr>
        <w:rPr>
          <w:rFonts w:ascii="Times New Roman" w:hAnsi="Times New Roman" w:cs="Times New Roman"/>
        </w:rPr>
      </w:pPr>
      <w:r w:rsidRPr="001D6D44">
        <w:rPr>
          <w:rFonts w:ascii="Times New Roman" w:hAnsi="Times New Roman" w:cs="Times New Roman"/>
        </w:rPr>
        <w:t>Rates:</w:t>
      </w:r>
      <w:r w:rsidR="00B67F70" w:rsidRPr="001D6D44">
        <w:rPr>
          <w:rFonts w:ascii="Times New Roman" w:hAnsi="Times New Roman" w:cs="Times New Roman"/>
        </w:rPr>
        <w:t xml:space="preserve"> For</w:t>
      </w:r>
      <w:r w:rsidRPr="001D6D44">
        <w:rPr>
          <w:rFonts w:ascii="Times New Roman" w:hAnsi="Times New Roman" w:cs="Times New Roman"/>
        </w:rPr>
        <w:t> </w:t>
      </w:r>
      <w:r w:rsidR="00B67F70" w:rsidRPr="001D6D44">
        <w:rPr>
          <w:rFonts w:ascii="Times New Roman" w:hAnsi="Times New Roman" w:cs="Times New Roman"/>
        </w:rPr>
        <w:t>the d</w:t>
      </w:r>
      <w:r w:rsidRPr="001D6D44">
        <w:rPr>
          <w:rFonts w:ascii="Times New Roman" w:hAnsi="Times New Roman" w:cs="Times New Roman"/>
        </w:rPr>
        <w:t>ecomposition rate</w:t>
      </w:r>
      <w:r w:rsidR="00B67F70" w:rsidRPr="001D6D44">
        <w:rPr>
          <w:rFonts w:ascii="Times New Roman" w:hAnsi="Times New Roman" w:cs="Times New Roman"/>
        </w:rPr>
        <w:t>,</w:t>
      </w:r>
      <w:r w:rsidRPr="001D6D44">
        <w:rPr>
          <w:rFonts w:ascii="Times New Roman" w:hAnsi="Times New Roman" w:cs="Times New Roman"/>
        </w:rPr>
        <w:t xml:space="preserve"> I will calculate exposure time in days against </w:t>
      </w:r>
      <w:r w:rsidR="00B67F70" w:rsidRPr="001D6D44">
        <w:rPr>
          <w:rFonts w:ascii="Times New Roman" w:hAnsi="Times New Roman" w:cs="Times New Roman"/>
        </w:rPr>
        <w:t xml:space="preserve">the </w:t>
      </w:r>
      <w:r w:rsidRPr="001D6D44">
        <w:rPr>
          <w:rFonts w:ascii="Times New Roman" w:hAnsi="Times New Roman" w:cs="Times New Roman"/>
        </w:rPr>
        <w:t>final</w:t>
      </w:r>
      <w:r w:rsidR="008E0D76">
        <w:rPr>
          <w:rFonts w:ascii="Times New Roman" w:hAnsi="Times New Roman" w:cs="Times New Roman"/>
        </w:rPr>
        <w:t xml:space="preserve"> mass</w:t>
      </w:r>
      <w:r w:rsidRPr="001D6D44">
        <w:rPr>
          <w:rFonts w:ascii="Times New Roman" w:hAnsi="Times New Roman" w:cs="Times New Roman"/>
        </w:rPr>
        <w:t xml:space="preserve"> divided </w:t>
      </w:r>
      <w:r w:rsidR="00B67F70" w:rsidRPr="001D6D44">
        <w:rPr>
          <w:rFonts w:ascii="Times New Roman" w:hAnsi="Times New Roman" w:cs="Times New Roman"/>
        </w:rPr>
        <w:t xml:space="preserve">by the </w:t>
      </w:r>
      <w:r w:rsidRPr="001D6D44">
        <w:rPr>
          <w:rFonts w:ascii="Times New Roman" w:hAnsi="Times New Roman" w:cs="Times New Roman"/>
        </w:rPr>
        <w:t>initial leaf mass</w:t>
      </w:r>
      <w:r w:rsidR="00B67F70" w:rsidRPr="001D6D44">
        <w:rPr>
          <w:rFonts w:ascii="Times New Roman" w:hAnsi="Times New Roman" w:cs="Times New Roman"/>
        </w:rPr>
        <w:t>.</w:t>
      </w:r>
      <w:r w:rsidRPr="001D6D44">
        <w:rPr>
          <w:rFonts w:ascii="Times New Roman" w:hAnsi="Times New Roman" w:cs="Times New Roman"/>
        </w:rPr>
        <w:t xml:space="preserve"> </w:t>
      </w:r>
      <w:r w:rsidR="00B67F70" w:rsidRPr="001D6D44">
        <w:rPr>
          <w:rFonts w:ascii="Times New Roman" w:hAnsi="Times New Roman" w:cs="Times New Roman"/>
        </w:rPr>
        <w:t>T</w:t>
      </w:r>
      <w:r w:rsidRPr="001D6D44">
        <w:rPr>
          <w:rFonts w:ascii="Times New Roman" w:hAnsi="Times New Roman" w:cs="Times New Roman"/>
        </w:rPr>
        <w:t xml:space="preserve">his will account for microbial rate, total rate, </w:t>
      </w:r>
      <w:r w:rsidR="001D6D44">
        <w:rPr>
          <w:rFonts w:ascii="Times New Roman" w:hAnsi="Times New Roman" w:cs="Times New Roman"/>
        </w:rPr>
        <w:t xml:space="preserve">and </w:t>
      </w:r>
      <w:r w:rsidRPr="001D6D44">
        <w:rPr>
          <w:rFonts w:ascii="Times New Roman" w:hAnsi="Times New Roman" w:cs="Times New Roman"/>
        </w:rPr>
        <w:t>macroinvertebrate contribution (total minus microbial).</w:t>
      </w:r>
      <w:r w:rsidR="00B67F70" w:rsidRPr="001D6D44">
        <w:rPr>
          <w:rFonts w:ascii="Times New Roman" w:hAnsi="Times New Roman" w:cs="Times New Roman"/>
        </w:rPr>
        <w:t xml:space="preserve"> This can be done using (Single-pool exponential decomposition models: potential pitfalls in their use in ecological studies</w:t>
      </w:r>
      <w:r w:rsidR="00F02145" w:rsidRPr="001D6D44">
        <w:rPr>
          <w:rFonts w:ascii="Times New Roman" w:hAnsi="Times New Roman" w:cs="Times New Roman"/>
        </w:rPr>
        <w:t xml:space="preserve"> </w:t>
      </w:r>
      <w:r w:rsidR="00986A70" w:rsidRPr="001D6D44">
        <w:rPr>
          <w:rFonts w:ascii="Times New Roman" w:hAnsi="Times New Roman" w:cs="Times New Roman"/>
        </w:rPr>
        <w:t>(</w:t>
      </w:r>
      <w:r w:rsidR="00F02145" w:rsidRPr="001D6D44">
        <w:rPr>
          <w:rFonts w:ascii="Times New Roman" w:hAnsi="Times New Roman" w:cs="Times New Roman"/>
        </w:rPr>
        <w:t>Adair, E. Carol, et al</w:t>
      </w:r>
      <w:r w:rsidR="00986A70" w:rsidRPr="001D6D44">
        <w:rPr>
          <w:rFonts w:ascii="Times New Roman" w:hAnsi="Times New Roman" w:cs="Times New Roman"/>
        </w:rPr>
        <w:t xml:space="preserve">., </w:t>
      </w:r>
      <w:r w:rsidR="00F02145" w:rsidRPr="001D6D44">
        <w:rPr>
          <w:rFonts w:ascii="Times New Roman" w:hAnsi="Times New Roman" w:cs="Times New Roman"/>
        </w:rPr>
        <w:t>2010)</w:t>
      </w:r>
    </w:p>
    <w:p w14:paraId="7C5745BF" w14:textId="35D4B10C" w:rsidR="00EB25F7" w:rsidRPr="001D6D44" w:rsidRDefault="00EB25F7" w:rsidP="001D6D44">
      <w:pPr>
        <w:rPr>
          <w:rFonts w:ascii="Times New Roman" w:hAnsi="Times New Roman" w:cs="Times New Roman"/>
        </w:rPr>
      </w:pPr>
    </w:p>
    <w:p w14:paraId="3B1BAFB1"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Tests:</w:t>
      </w:r>
    </w:p>
    <w:p w14:paraId="302FE428" w14:textId="23B07A54" w:rsidR="00EB25F7" w:rsidRPr="001D6D44" w:rsidRDefault="005A329B" w:rsidP="001D6D44">
      <w:pPr>
        <w:rPr>
          <w:rFonts w:ascii="Times New Roman" w:hAnsi="Times New Roman" w:cs="Times New Roman"/>
        </w:rPr>
      </w:pPr>
      <w:r>
        <w:rPr>
          <w:rFonts w:ascii="Times New Roman" w:hAnsi="Times New Roman" w:cs="Times New Roman"/>
        </w:rPr>
        <w:t xml:space="preserve">Linear </w:t>
      </w:r>
      <w:r w:rsidR="00EB25F7" w:rsidRPr="001D6D44">
        <w:rPr>
          <w:rFonts w:ascii="Times New Roman" w:hAnsi="Times New Roman" w:cs="Times New Roman"/>
        </w:rPr>
        <w:t xml:space="preserve">Mixed-effects models (R): land use </w:t>
      </w:r>
      <w:r w:rsidR="00986A70" w:rsidRPr="001D6D44">
        <w:rPr>
          <w:rFonts w:ascii="Times New Roman" w:hAnsi="Times New Roman" w:cs="Times New Roman"/>
        </w:rPr>
        <w:t xml:space="preserve">and </w:t>
      </w:r>
      <w:r w:rsidR="00EB25F7" w:rsidRPr="001D6D44">
        <w:rPr>
          <w:rFonts w:ascii="Times New Roman" w:hAnsi="Times New Roman" w:cs="Times New Roman"/>
        </w:rPr>
        <w:t>catchment</w:t>
      </w:r>
      <w:r w:rsidR="00986A70" w:rsidRPr="001D6D44">
        <w:rPr>
          <w:rFonts w:ascii="Times New Roman" w:hAnsi="Times New Roman" w:cs="Times New Roman"/>
        </w:rPr>
        <w:t xml:space="preserve"> will be used as the </w:t>
      </w:r>
      <w:r w:rsidR="00EB25F7" w:rsidRPr="001D6D44">
        <w:rPr>
          <w:rFonts w:ascii="Times New Roman" w:hAnsi="Times New Roman" w:cs="Times New Roman"/>
        </w:rPr>
        <w:t>fixed</w:t>
      </w:r>
      <w:r w:rsidR="00986A70" w:rsidRPr="001D6D44">
        <w:rPr>
          <w:rFonts w:ascii="Times New Roman" w:hAnsi="Times New Roman" w:cs="Times New Roman"/>
        </w:rPr>
        <w:t xml:space="preserve"> effects</w:t>
      </w:r>
      <w:r w:rsidR="001D6D44">
        <w:rPr>
          <w:rFonts w:ascii="Times New Roman" w:hAnsi="Times New Roman" w:cs="Times New Roman"/>
        </w:rPr>
        <w:t>,</w:t>
      </w:r>
      <w:r w:rsidR="00986A70" w:rsidRPr="001D6D44">
        <w:rPr>
          <w:rFonts w:ascii="Times New Roman" w:hAnsi="Times New Roman" w:cs="Times New Roman"/>
        </w:rPr>
        <w:t xml:space="preserve"> while the</w:t>
      </w:r>
      <w:r w:rsidR="00EB25F7" w:rsidRPr="001D6D44">
        <w:rPr>
          <w:rFonts w:ascii="Times New Roman" w:hAnsi="Times New Roman" w:cs="Times New Roman"/>
        </w:rPr>
        <w:t xml:space="preserve"> site</w:t>
      </w:r>
      <w:r w:rsidR="001D6D44">
        <w:rPr>
          <w:rFonts w:ascii="Times New Roman" w:hAnsi="Times New Roman" w:cs="Times New Roman"/>
        </w:rPr>
        <w:t>,</w:t>
      </w:r>
      <w:r w:rsidR="00EB25F7" w:rsidRPr="001D6D44">
        <w:rPr>
          <w:rFonts w:ascii="Times New Roman" w:hAnsi="Times New Roman" w:cs="Times New Roman"/>
        </w:rPr>
        <w:t xml:space="preserve"> </w:t>
      </w:r>
      <w:r w:rsidR="00986A70" w:rsidRPr="001D6D44">
        <w:rPr>
          <w:rFonts w:ascii="Times New Roman" w:hAnsi="Times New Roman" w:cs="Times New Roman"/>
        </w:rPr>
        <w:t>i.e</w:t>
      </w:r>
      <w:r w:rsidR="001D6D44">
        <w:rPr>
          <w:rFonts w:ascii="Times New Roman" w:hAnsi="Times New Roman" w:cs="Times New Roman"/>
        </w:rPr>
        <w:t>.,</w:t>
      </w:r>
      <w:r w:rsidR="00986A70" w:rsidRPr="001D6D44">
        <w:rPr>
          <w:rFonts w:ascii="Times New Roman" w:hAnsi="Times New Roman" w:cs="Times New Roman"/>
        </w:rPr>
        <w:t xml:space="preserve"> individual stream</w:t>
      </w:r>
      <w:r w:rsidR="006C5D43">
        <w:rPr>
          <w:rFonts w:ascii="Times New Roman" w:hAnsi="Times New Roman" w:cs="Times New Roman"/>
        </w:rPr>
        <w:t xml:space="preserve"> points</w:t>
      </w:r>
      <w:r w:rsidR="00986A70" w:rsidRPr="001D6D44">
        <w:rPr>
          <w:rFonts w:ascii="Times New Roman" w:hAnsi="Times New Roman" w:cs="Times New Roman"/>
        </w:rPr>
        <w:t xml:space="preserve"> will be </w:t>
      </w:r>
      <w:r w:rsidR="001D6D44">
        <w:rPr>
          <w:rFonts w:ascii="Times New Roman" w:hAnsi="Times New Roman" w:cs="Times New Roman"/>
        </w:rPr>
        <w:t xml:space="preserve">a </w:t>
      </w:r>
      <w:r w:rsidR="00EB25F7" w:rsidRPr="001D6D44">
        <w:rPr>
          <w:rFonts w:ascii="Times New Roman" w:hAnsi="Times New Roman" w:cs="Times New Roman"/>
        </w:rPr>
        <w:t>random</w:t>
      </w:r>
      <w:r w:rsidR="00986A70" w:rsidRPr="001D6D44">
        <w:rPr>
          <w:rFonts w:ascii="Times New Roman" w:hAnsi="Times New Roman" w:cs="Times New Roman"/>
        </w:rPr>
        <w:t xml:space="preserve"> effect</w:t>
      </w:r>
      <w:r w:rsidR="001D6D44">
        <w:rPr>
          <w:rFonts w:ascii="Times New Roman" w:hAnsi="Times New Roman" w:cs="Times New Roman"/>
        </w:rPr>
        <w:t>.</w:t>
      </w:r>
      <w:r w:rsidR="00986A70" w:rsidRPr="001D6D44">
        <w:rPr>
          <w:rFonts w:ascii="Times New Roman" w:hAnsi="Times New Roman" w:cs="Times New Roman"/>
        </w:rPr>
        <w:t xml:space="preserve"> </w:t>
      </w:r>
      <w:r w:rsidR="001D6D44">
        <w:rPr>
          <w:rFonts w:ascii="Times New Roman" w:hAnsi="Times New Roman" w:cs="Times New Roman"/>
        </w:rPr>
        <w:t>T</w:t>
      </w:r>
      <w:r w:rsidR="00986A70" w:rsidRPr="001D6D44">
        <w:rPr>
          <w:rFonts w:ascii="Times New Roman" w:hAnsi="Times New Roman" w:cs="Times New Roman"/>
        </w:rPr>
        <w:t>his will enable me determine site to site difference</w:t>
      </w:r>
      <w:r w:rsidR="001D6D44">
        <w:rPr>
          <w:rFonts w:ascii="Times New Roman" w:hAnsi="Times New Roman" w:cs="Times New Roman"/>
        </w:rPr>
        <w:t>s</w:t>
      </w:r>
      <w:r w:rsidR="00986A70" w:rsidRPr="001D6D44">
        <w:rPr>
          <w:rFonts w:ascii="Times New Roman" w:hAnsi="Times New Roman" w:cs="Times New Roman"/>
        </w:rPr>
        <w:t xml:space="preserve"> and prevent overestimation</w:t>
      </w:r>
    </w:p>
    <w:p w14:paraId="3850979E" w14:textId="007233CD" w:rsidR="00EB25F7" w:rsidRPr="001D6D44" w:rsidRDefault="00EB25F7" w:rsidP="001D6D44">
      <w:pPr>
        <w:rPr>
          <w:rFonts w:ascii="Times New Roman" w:hAnsi="Times New Roman" w:cs="Times New Roman"/>
        </w:rPr>
      </w:pPr>
      <w:r w:rsidRPr="001D6D44">
        <w:rPr>
          <w:rFonts w:ascii="Times New Roman" w:hAnsi="Times New Roman" w:cs="Times New Roman"/>
        </w:rPr>
        <w:t>Simple correlations (Pearson/Spearman): shredders</w:t>
      </w:r>
      <w:r w:rsidR="00986A70" w:rsidRPr="001D6D44">
        <w:rPr>
          <w:rFonts w:ascii="Times New Roman" w:hAnsi="Times New Roman" w:cs="Times New Roman"/>
        </w:rPr>
        <w:t xml:space="preserve"> abundance</w:t>
      </w:r>
      <w:r w:rsidRPr="001D6D44">
        <w:rPr>
          <w:rFonts w:ascii="Times New Roman" w:hAnsi="Times New Roman" w:cs="Times New Roman"/>
        </w:rPr>
        <w:t xml:space="preserve"> </w:t>
      </w:r>
      <w:r w:rsidR="00986A70" w:rsidRPr="001D6D44">
        <w:rPr>
          <w:rFonts w:ascii="Times New Roman" w:hAnsi="Times New Roman" w:cs="Times New Roman"/>
        </w:rPr>
        <w:t>against</w:t>
      </w:r>
      <w:r w:rsidRPr="001D6D44">
        <w:rPr>
          <w:rFonts w:ascii="Times New Roman" w:hAnsi="Times New Roman" w:cs="Times New Roman"/>
        </w:rPr>
        <w:t xml:space="preserve"> </w:t>
      </w:r>
      <w:r w:rsidR="00986A70" w:rsidRPr="001D6D44">
        <w:rPr>
          <w:rFonts w:ascii="Times New Roman" w:hAnsi="Times New Roman" w:cs="Times New Roman"/>
        </w:rPr>
        <w:t xml:space="preserve">other </w:t>
      </w:r>
      <w:r w:rsidRPr="001D6D44">
        <w:rPr>
          <w:rFonts w:ascii="Times New Roman" w:hAnsi="Times New Roman" w:cs="Times New Roman"/>
        </w:rPr>
        <w:t>macroinvertebrate</w:t>
      </w:r>
      <w:r w:rsidR="00986A70" w:rsidRPr="001D6D44">
        <w:rPr>
          <w:rFonts w:ascii="Times New Roman" w:hAnsi="Times New Roman" w:cs="Times New Roman"/>
        </w:rPr>
        <w:t>s</w:t>
      </w:r>
      <w:r w:rsidRPr="001D6D44">
        <w:rPr>
          <w:rFonts w:ascii="Times New Roman" w:hAnsi="Times New Roman" w:cs="Times New Roman"/>
        </w:rPr>
        <w:t xml:space="preserve"> contribution</w:t>
      </w:r>
      <w:r w:rsidR="00986A70" w:rsidRPr="001D6D44">
        <w:rPr>
          <w:rFonts w:ascii="Times New Roman" w:hAnsi="Times New Roman" w:cs="Times New Roman"/>
        </w:rPr>
        <w:t xml:space="preserve"> to overall total decomposition.</w:t>
      </w:r>
    </w:p>
    <w:p w14:paraId="051888C4" w14:textId="77777777" w:rsidR="000513C8" w:rsidRPr="001D6D44" w:rsidRDefault="000513C8" w:rsidP="001D6D44">
      <w:pPr>
        <w:rPr>
          <w:rFonts w:ascii="Times New Roman" w:hAnsi="Times New Roman" w:cs="Times New Roman"/>
        </w:rPr>
      </w:pPr>
    </w:p>
    <w:p w14:paraId="06D54E03" w14:textId="0B0684BA" w:rsidR="00EB25F7" w:rsidRPr="001D6D44" w:rsidRDefault="00EB25F7" w:rsidP="001D6D44">
      <w:pPr>
        <w:rPr>
          <w:rFonts w:ascii="Times New Roman" w:hAnsi="Times New Roman" w:cs="Times New Roman"/>
        </w:rPr>
      </w:pPr>
      <w:r w:rsidRPr="001D6D44">
        <w:rPr>
          <w:rFonts w:ascii="Times New Roman" w:hAnsi="Times New Roman" w:cs="Times New Roman"/>
        </w:rPr>
        <w:t xml:space="preserve">Drivers: Stability selection (Meinshausen &amp; Bühlmann, 2010; Schreiner et al., 2023; R stabs) on </w:t>
      </w:r>
      <w:r w:rsidR="00FF6603">
        <w:rPr>
          <w:rFonts w:ascii="Times New Roman" w:hAnsi="Times New Roman" w:cs="Times New Roman"/>
        </w:rPr>
        <w:t>selected</w:t>
      </w:r>
      <w:r w:rsidRPr="001D6D44">
        <w:rPr>
          <w:rFonts w:ascii="Times New Roman" w:hAnsi="Times New Roman" w:cs="Times New Roman"/>
        </w:rPr>
        <w:t xml:space="preserve"> variables.</w:t>
      </w:r>
      <w:r w:rsidR="00986A70" w:rsidRPr="001D6D44">
        <w:rPr>
          <w:rFonts w:ascii="Times New Roman" w:hAnsi="Times New Roman" w:cs="Times New Roman"/>
        </w:rPr>
        <w:t xml:space="preserve"> This will enable me to account for all the </w:t>
      </w:r>
      <w:r w:rsidR="00FF6603">
        <w:rPr>
          <w:rFonts w:ascii="Times New Roman" w:hAnsi="Times New Roman" w:cs="Times New Roman"/>
        </w:rPr>
        <w:t xml:space="preserve">physical </w:t>
      </w:r>
      <w:r w:rsidR="00986A70" w:rsidRPr="001D6D44">
        <w:rPr>
          <w:rFonts w:ascii="Times New Roman" w:hAnsi="Times New Roman" w:cs="Times New Roman"/>
        </w:rPr>
        <w:t xml:space="preserve">chemistry </w:t>
      </w:r>
      <w:r w:rsidR="001D6D44" w:rsidRPr="001D6D44">
        <w:rPr>
          <w:rFonts w:ascii="Times New Roman" w:hAnsi="Times New Roman" w:cs="Times New Roman"/>
        </w:rPr>
        <w:t>variables</w:t>
      </w:r>
      <w:r w:rsidR="00986A70" w:rsidRPr="001D6D44">
        <w:rPr>
          <w:rFonts w:ascii="Times New Roman" w:hAnsi="Times New Roman" w:cs="Times New Roman"/>
        </w:rPr>
        <w:t xml:space="preserve"> and</w:t>
      </w:r>
      <w:r w:rsidR="00A61C0C">
        <w:rPr>
          <w:rFonts w:ascii="Times New Roman" w:hAnsi="Times New Roman" w:cs="Times New Roman"/>
        </w:rPr>
        <w:t xml:space="preserve"> </w:t>
      </w:r>
      <w:r w:rsidR="008E0D76">
        <w:rPr>
          <w:rFonts w:ascii="Times New Roman" w:hAnsi="Times New Roman" w:cs="Times New Roman"/>
        </w:rPr>
        <w:t>any other</w:t>
      </w:r>
      <w:r w:rsidR="00986A70" w:rsidRPr="001D6D44">
        <w:rPr>
          <w:rFonts w:ascii="Times New Roman" w:hAnsi="Times New Roman" w:cs="Times New Roman"/>
        </w:rPr>
        <w:t xml:space="preserve"> parameters that may ar</w:t>
      </w:r>
      <w:r w:rsidR="001D6D44">
        <w:rPr>
          <w:rFonts w:ascii="Times New Roman" w:hAnsi="Times New Roman" w:cs="Times New Roman"/>
        </w:rPr>
        <w:t>is</w:t>
      </w:r>
      <w:r w:rsidR="00986A70" w:rsidRPr="001D6D44">
        <w:rPr>
          <w:rFonts w:ascii="Times New Roman" w:hAnsi="Times New Roman" w:cs="Times New Roman"/>
        </w:rPr>
        <w:t>e without doing it individuall</w:t>
      </w:r>
      <w:r w:rsidR="00A61C0C">
        <w:rPr>
          <w:rFonts w:ascii="Times New Roman" w:hAnsi="Times New Roman" w:cs="Times New Roman"/>
        </w:rPr>
        <w:t>y.</w:t>
      </w:r>
    </w:p>
    <w:p w14:paraId="42B9A3BC" w14:textId="77777777" w:rsidR="000513C8" w:rsidRPr="001D6D44" w:rsidRDefault="000513C8" w:rsidP="001D6D44">
      <w:pPr>
        <w:rPr>
          <w:rFonts w:ascii="Times New Roman" w:hAnsi="Times New Roman" w:cs="Times New Roman"/>
        </w:rPr>
      </w:pPr>
    </w:p>
    <w:p w14:paraId="7D1BA7D3" w14:textId="77777777" w:rsidR="000513C8" w:rsidRPr="001D6D44" w:rsidRDefault="000513C8" w:rsidP="001D6D44">
      <w:pPr>
        <w:rPr>
          <w:rFonts w:ascii="Times New Roman" w:hAnsi="Times New Roman" w:cs="Times New Roman"/>
        </w:rPr>
      </w:pPr>
      <w:r w:rsidRPr="001D6D44">
        <w:rPr>
          <w:rFonts w:ascii="Times New Roman" w:hAnsi="Times New Roman" w:cs="Times New Roman"/>
        </w:rPr>
        <w:t xml:space="preserve">Stability selection is a statistical method used to identify the most reliable variables (predictors) in a dataset when you are building models, especially in situations with many variables. </w:t>
      </w:r>
    </w:p>
    <w:p w14:paraId="2902351A" w14:textId="77777777" w:rsidR="000513C8" w:rsidRPr="001D6D44" w:rsidRDefault="000513C8" w:rsidP="001D6D44">
      <w:pPr>
        <w:rPr>
          <w:rFonts w:ascii="Times New Roman" w:hAnsi="Times New Roman" w:cs="Times New Roman"/>
        </w:rPr>
      </w:pPr>
      <w:r w:rsidRPr="001D6D44">
        <w:rPr>
          <w:rFonts w:ascii="Times New Roman" w:hAnsi="Times New Roman" w:cs="Times New Roman"/>
        </w:rPr>
        <w:t>A variable is considered important if it keeps getting selected repeatedly when you slightly change the data.</w:t>
      </w:r>
    </w:p>
    <w:p w14:paraId="593F0F2F" w14:textId="77777777" w:rsidR="001D6D44" w:rsidRPr="001D6D44" w:rsidRDefault="001D6D44" w:rsidP="001D6D44">
      <w:pPr>
        <w:rPr>
          <w:rFonts w:ascii="Times New Roman" w:hAnsi="Times New Roman" w:cs="Times New Roman"/>
        </w:rPr>
      </w:pPr>
    </w:p>
    <w:p w14:paraId="2F9CF84D" w14:textId="61117003" w:rsidR="001D6D44" w:rsidRPr="001D6D44" w:rsidRDefault="001D6D44" w:rsidP="001D6D44">
      <w:pPr>
        <w:rPr>
          <w:rFonts w:ascii="Times New Roman" w:hAnsi="Times New Roman" w:cs="Times New Roman"/>
        </w:rPr>
      </w:pPr>
      <w:r w:rsidRPr="001D6D44">
        <w:rPr>
          <w:rFonts w:ascii="Times New Roman" w:hAnsi="Times New Roman" w:cs="Times New Roman"/>
        </w:rPr>
        <w:t>Aim &amp; Objectives</w:t>
      </w:r>
    </w:p>
    <w:p w14:paraId="33EE7286" w14:textId="77777777" w:rsidR="001D6D44" w:rsidRPr="001D6D44" w:rsidRDefault="001D6D44" w:rsidP="001D6D44">
      <w:pPr>
        <w:rPr>
          <w:rFonts w:ascii="Times New Roman" w:hAnsi="Times New Roman" w:cs="Times New Roman"/>
        </w:rPr>
      </w:pPr>
      <w:r w:rsidRPr="001D6D44">
        <w:rPr>
          <w:rFonts w:ascii="Times New Roman" w:hAnsi="Times New Roman" w:cs="Times New Roman"/>
        </w:rPr>
        <w:t>Overall Aim</w:t>
      </w:r>
    </w:p>
    <w:p w14:paraId="5DAC3C45" w14:textId="77777777" w:rsidR="001D6D44" w:rsidRPr="001D6D44" w:rsidRDefault="001D6D44" w:rsidP="001D6D44">
      <w:pPr>
        <w:rPr>
          <w:rFonts w:ascii="Times New Roman" w:hAnsi="Times New Roman" w:cs="Times New Roman"/>
        </w:rPr>
      </w:pPr>
      <w:r w:rsidRPr="001D6D44">
        <w:rPr>
          <w:rFonts w:ascii="Times New Roman" w:hAnsi="Times New Roman" w:cs="Times New Roman"/>
        </w:rPr>
        <w:t xml:space="preserve">To quantify how urbanization, agriculture, and restoration affect microbial vs. macroinvertebrate leaf decomposition across Kinzig, Boye, and Emscher catchments, using reciprocal controls: Boye/Emscher (urban-industrial) as controls for agricultural effects </w:t>
      </w:r>
      <w:r w:rsidRPr="001D6D44">
        <w:rPr>
          <w:rFonts w:ascii="Times New Roman" w:hAnsi="Times New Roman" w:cs="Times New Roman"/>
        </w:rPr>
        <w:lastRenderedPageBreak/>
        <w:t>in Kinzig, and Kinzig (rural-agricultural) as reference for industrial/renaturation effects in Boye/Emscher.</w:t>
      </w:r>
    </w:p>
    <w:p w14:paraId="339108BF" w14:textId="77777777" w:rsidR="001D6D44" w:rsidRPr="001D6D44" w:rsidRDefault="001D6D44" w:rsidP="001D6D44">
      <w:pPr>
        <w:rPr>
          <w:rFonts w:ascii="Times New Roman" w:hAnsi="Times New Roman" w:cs="Times New Roman"/>
        </w:rPr>
      </w:pPr>
      <w:r w:rsidRPr="001D6D44">
        <w:rPr>
          <w:rFonts w:ascii="Times New Roman" w:hAnsi="Times New Roman" w:cs="Times New Roman"/>
        </w:rPr>
        <w:t>Specific Objectives</w:t>
      </w:r>
    </w:p>
    <w:p w14:paraId="5E094D85" w14:textId="77777777" w:rsidR="001D6D44" w:rsidRPr="001D6D44" w:rsidRDefault="001D6D44" w:rsidP="001D6D44">
      <w:pPr>
        <w:pStyle w:val="ListParagraph"/>
        <w:numPr>
          <w:ilvl w:val="0"/>
          <w:numId w:val="8"/>
        </w:numPr>
        <w:rPr>
          <w:rFonts w:ascii="Times New Roman" w:hAnsi="Times New Roman" w:cs="Times New Roman"/>
        </w:rPr>
      </w:pPr>
      <w:r w:rsidRPr="001D6D44">
        <w:rPr>
          <w:rFonts w:ascii="Times New Roman" w:hAnsi="Times New Roman" w:cs="Times New Roman"/>
        </w:rPr>
        <w:t>Measure decomposition partitioning across rural-urban sites, treating Boye/Emscher as urban-industrial controls for Kinzig's agricultural stressors, extending Schreiner et al. (2023).</w:t>
      </w:r>
    </w:p>
    <w:p w14:paraId="25EFC1C2" w14:textId="77777777" w:rsidR="001D6D44" w:rsidRPr="001D6D44" w:rsidRDefault="001D6D44" w:rsidP="001D6D44">
      <w:pPr>
        <w:pStyle w:val="ListParagraph"/>
        <w:numPr>
          <w:ilvl w:val="0"/>
          <w:numId w:val="8"/>
        </w:numPr>
        <w:rPr>
          <w:rFonts w:ascii="Times New Roman" w:hAnsi="Times New Roman" w:cs="Times New Roman"/>
        </w:rPr>
      </w:pPr>
      <w:r w:rsidRPr="001D6D44">
        <w:rPr>
          <w:rFonts w:ascii="Times New Roman" w:hAnsi="Times New Roman" w:cs="Times New Roman"/>
        </w:rPr>
        <w:t>Test land use and catchment effects using mixed-effects models, with Kinzig controlling for industrial legacy/renaturation in Boye/Emscher (Tolkkinen et al., 2016).</w:t>
      </w:r>
    </w:p>
    <w:p w14:paraId="79E8EC2A" w14:textId="28754BC6" w:rsidR="001D6D44" w:rsidRPr="001D6D44" w:rsidRDefault="001D6D44" w:rsidP="001D6D44">
      <w:pPr>
        <w:pStyle w:val="ListParagraph"/>
        <w:numPr>
          <w:ilvl w:val="0"/>
          <w:numId w:val="8"/>
        </w:numPr>
        <w:rPr>
          <w:rFonts w:ascii="Times New Roman" w:hAnsi="Times New Roman" w:cs="Times New Roman"/>
        </w:rPr>
      </w:pPr>
      <w:r w:rsidRPr="001D6D44">
        <w:rPr>
          <w:rFonts w:ascii="Times New Roman" w:hAnsi="Times New Roman" w:cs="Times New Roman"/>
        </w:rPr>
        <w:t xml:space="preserve">Identify key drivers via stability selection (Meinshausen &amp; Bühlmann, 2010) across variables, comparing agricultural </w:t>
      </w:r>
      <w:r>
        <w:rPr>
          <w:rFonts w:ascii="Times New Roman" w:hAnsi="Times New Roman" w:cs="Times New Roman"/>
        </w:rPr>
        <w:t xml:space="preserve">and </w:t>
      </w:r>
      <w:r w:rsidRPr="001D6D44">
        <w:rPr>
          <w:rFonts w:ascii="Times New Roman" w:hAnsi="Times New Roman" w:cs="Times New Roman"/>
        </w:rPr>
        <w:t>industrial/urban controls.</w:t>
      </w:r>
    </w:p>
    <w:p w14:paraId="77B90C67" w14:textId="7985B540" w:rsidR="001D6D44" w:rsidRPr="001D6D44" w:rsidRDefault="001D6D44" w:rsidP="001D6D44">
      <w:pPr>
        <w:rPr>
          <w:rFonts w:ascii="Times New Roman" w:hAnsi="Times New Roman" w:cs="Times New Roman"/>
        </w:rPr>
      </w:pPr>
      <w:r w:rsidRPr="001D6D44">
        <w:rPr>
          <w:rFonts w:ascii="Times New Roman" w:hAnsi="Times New Roman" w:cs="Times New Roman"/>
        </w:rPr>
        <w:t>Statements</w:t>
      </w:r>
    </w:p>
    <w:p w14:paraId="111DC315" w14:textId="77777777" w:rsidR="001D6D44" w:rsidRPr="001D6D44" w:rsidRDefault="001D6D44" w:rsidP="001D6D44">
      <w:pPr>
        <w:pStyle w:val="ListParagraph"/>
        <w:numPr>
          <w:ilvl w:val="0"/>
          <w:numId w:val="9"/>
        </w:numPr>
        <w:rPr>
          <w:rFonts w:ascii="Times New Roman" w:hAnsi="Times New Roman" w:cs="Times New Roman"/>
        </w:rPr>
      </w:pPr>
      <w:r w:rsidRPr="001D6D44">
        <w:rPr>
          <w:rFonts w:ascii="Times New Roman" w:hAnsi="Times New Roman" w:cs="Times New Roman"/>
        </w:rPr>
        <w:t>Reciprocal catchment controls: Boye/Emscher serve as urban-industrial controls for Kinzig agriculture (and vice versa), enabling robust stressor separation absent in prior single-gradient studies.</w:t>
      </w:r>
    </w:p>
    <w:p w14:paraId="3DD1B341" w14:textId="16995BE7" w:rsidR="001D6D44" w:rsidRPr="001D6D44" w:rsidRDefault="001D6D44" w:rsidP="001D6D44">
      <w:pPr>
        <w:pStyle w:val="ListParagraph"/>
        <w:numPr>
          <w:ilvl w:val="0"/>
          <w:numId w:val="9"/>
        </w:numPr>
        <w:rPr>
          <w:rFonts w:ascii="Times New Roman" w:hAnsi="Times New Roman" w:cs="Times New Roman"/>
        </w:rPr>
      </w:pPr>
      <w:r w:rsidRPr="001D6D44">
        <w:rPr>
          <w:rFonts w:ascii="Times New Roman" w:hAnsi="Times New Roman" w:cs="Times New Roman"/>
        </w:rPr>
        <w:t>First partitioning study for these catchments: While urban decomposition patterns are known (Webster &amp; Benfield, 1986), this is the first study partitioning microbial/shredder roles across Kinzig-Boye-Emscher restoration gradients for</w:t>
      </w:r>
      <w:r w:rsidR="005A329B">
        <w:rPr>
          <w:rFonts w:ascii="Times New Roman" w:hAnsi="Times New Roman" w:cs="Times New Roman"/>
        </w:rPr>
        <w:t xml:space="preserve"> </w:t>
      </w:r>
      <w:r w:rsidRPr="001D6D44">
        <w:rPr>
          <w:rFonts w:ascii="Times New Roman" w:hAnsi="Times New Roman" w:cs="Times New Roman"/>
        </w:rPr>
        <w:t>RESIST.</w:t>
      </w:r>
    </w:p>
    <w:p w14:paraId="36562380" w14:textId="77777777" w:rsidR="001D6D44" w:rsidRPr="001D6D44" w:rsidRDefault="001D6D44" w:rsidP="001D6D44">
      <w:pPr>
        <w:rPr>
          <w:rFonts w:ascii="Times New Roman" w:hAnsi="Times New Roman" w:cs="Times New Roman"/>
        </w:rPr>
      </w:pPr>
    </w:p>
    <w:p w14:paraId="162374BB" w14:textId="77777777" w:rsidR="001D6D44" w:rsidRPr="001D6D44" w:rsidRDefault="001D6D44" w:rsidP="001D6D44">
      <w:pPr>
        <w:rPr>
          <w:rFonts w:ascii="Times New Roman" w:hAnsi="Times New Roman" w:cs="Times New Roman"/>
        </w:rPr>
      </w:pPr>
    </w:p>
    <w:p w14:paraId="60536CCB" w14:textId="17212BF5" w:rsidR="001D6D44" w:rsidRPr="001D6D44" w:rsidRDefault="001D6D44" w:rsidP="001D6D44">
      <w:pPr>
        <w:rPr>
          <w:rFonts w:ascii="Times New Roman" w:hAnsi="Times New Roman" w:cs="Times New Roman"/>
        </w:rPr>
      </w:pPr>
      <w:r>
        <w:rPr>
          <w:rFonts w:ascii="Times New Roman" w:hAnsi="Times New Roman" w:cs="Times New Roman"/>
        </w:rPr>
        <w:t xml:space="preserve">The </w:t>
      </w:r>
      <w:r w:rsidRPr="001D6D44">
        <w:rPr>
          <w:rFonts w:ascii="Times New Roman" w:hAnsi="Times New Roman" w:cs="Times New Roman"/>
        </w:rPr>
        <w:t xml:space="preserve">study differs from previous research </w:t>
      </w:r>
    </w:p>
    <w:p w14:paraId="7B818747" w14:textId="6DE49624" w:rsidR="001D6D44" w:rsidRPr="001D6D44" w:rsidRDefault="001D6D44" w:rsidP="001D6D44">
      <w:pPr>
        <w:pStyle w:val="ListParagraph"/>
        <w:numPr>
          <w:ilvl w:val="0"/>
          <w:numId w:val="10"/>
        </w:numPr>
        <w:rPr>
          <w:rFonts w:ascii="Times New Roman" w:hAnsi="Times New Roman" w:cs="Times New Roman"/>
        </w:rPr>
      </w:pPr>
      <w:r w:rsidRPr="001D6D44">
        <w:rPr>
          <w:rFonts w:ascii="Times New Roman" w:hAnsi="Times New Roman" w:cs="Times New Roman"/>
        </w:rPr>
        <w:t>Catchment combination: First</w:t>
      </w:r>
      <w:r>
        <w:rPr>
          <w:rFonts w:ascii="Times New Roman" w:hAnsi="Times New Roman" w:cs="Times New Roman"/>
        </w:rPr>
        <w:t>,</w:t>
      </w:r>
      <w:r w:rsidRPr="001D6D44">
        <w:rPr>
          <w:rFonts w:ascii="Times New Roman" w:hAnsi="Times New Roman" w:cs="Times New Roman"/>
        </w:rPr>
        <w:t xml:space="preserve"> to compare Kinzig (agricultural), Boye, and Emscher (urban restoration) together</w:t>
      </w:r>
      <w:r>
        <w:rPr>
          <w:rFonts w:ascii="Times New Roman" w:hAnsi="Times New Roman" w:cs="Times New Roman"/>
        </w:rPr>
        <w:t xml:space="preserve">, </w:t>
      </w:r>
      <w:r w:rsidRPr="001D6D44">
        <w:rPr>
          <w:rFonts w:ascii="Times New Roman" w:hAnsi="Times New Roman" w:cs="Times New Roman"/>
        </w:rPr>
        <w:t xml:space="preserve">no prior publication uses this specific trio for </w:t>
      </w:r>
      <w:r>
        <w:rPr>
          <w:rFonts w:ascii="Times New Roman" w:hAnsi="Times New Roman" w:cs="Times New Roman"/>
        </w:rPr>
        <w:t xml:space="preserve">a </w:t>
      </w:r>
      <w:r w:rsidRPr="001D6D44">
        <w:rPr>
          <w:rFonts w:ascii="Times New Roman" w:hAnsi="Times New Roman" w:cs="Times New Roman"/>
        </w:rPr>
        <w:t xml:space="preserve">decomposition </w:t>
      </w:r>
      <w:r>
        <w:rPr>
          <w:rFonts w:ascii="Times New Roman" w:hAnsi="Times New Roman" w:cs="Times New Roman"/>
        </w:rPr>
        <w:t>study</w:t>
      </w:r>
      <w:r w:rsidRPr="001D6D44">
        <w:rPr>
          <w:rFonts w:ascii="Times New Roman" w:hAnsi="Times New Roman" w:cs="Times New Roman"/>
        </w:rPr>
        <w:t>.​</w:t>
      </w:r>
    </w:p>
    <w:p w14:paraId="332F9F56" w14:textId="525D6479" w:rsidR="001D6D44" w:rsidRPr="001D6D44" w:rsidRDefault="001D6D44" w:rsidP="001D6D44">
      <w:pPr>
        <w:pStyle w:val="ListParagraph"/>
        <w:numPr>
          <w:ilvl w:val="0"/>
          <w:numId w:val="10"/>
        </w:numPr>
        <w:rPr>
          <w:rFonts w:ascii="Times New Roman" w:hAnsi="Times New Roman" w:cs="Times New Roman"/>
        </w:rPr>
      </w:pPr>
      <w:r w:rsidRPr="001D6D44">
        <w:rPr>
          <w:rFonts w:ascii="Times New Roman" w:hAnsi="Times New Roman" w:cs="Times New Roman"/>
        </w:rPr>
        <w:t>Reciprocal controls: Uses Boye/Emscher as urban-industrial controls for Kinzig agriculture (and vice versa), unlike single-stressor gradient studies (Schreiner et al., 2023 used only agricultural streams). ​</w:t>
      </w:r>
    </w:p>
    <w:p w14:paraId="45007956" w14:textId="1FDD3A24" w:rsidR="001D6D44" w:rsidRPr="001D6D44" w:rsidRDefault="001D6D44" w:rsidP="001D6D44">
      <w:pPr>
        <w:pStyle w:val="ListParagraph"/>
        <w:numPr>
          <w:ilvl w:val="0"/>
          <w:numId w:val="10"/>
        </w:numPr>
        <w:rPr>
          <w:rFonts w:ascii="Times New Roman" w:hAnsi="Times New Roman" w:cs="Times New Roman"/>
        </w:rPr>
      </w:pPr>
      <w:r w:rsidRPr="001D6D44">
        <w:rPr>
          <w:rFonts w:ascii="Times New Roman" w:hAnsi="Times New Roman" w:cs="Times New Roman"/>
        </w:rPr>
        <w:t>Restoration focus: Tests macroinvertebrate functional recovery post-renaturation in Emscher/Boye (2018+ efforts), beyond typical "urban bad" findings (Tolkkinen et al., 2016). ​</w:t>
      </w:r>
    </w:p>
    <w:p w14:paraId="3E3BC2F1" w14:textId="77777777" w:rsidR="001D6D44" w:rsidRPr="001D6D44" w:rsidRDefault="001D6D44" w:rsidP="001D6D44">
      <w:pPr>
        <w:pStyle w:val="ListParagraph"/>
        <w:numPr>
          <w:ilvl w:val="0"/>
          <w:numId w:val="10"/>
        </w:numPr>
        <w:rPr>
          <w:rFonts w:ascii="Times New Roman" w:hAnsi="Times New Roman" w:cs="Times New Roman"/>
        </w:rPr>
      </w:pPr>
      <w:r w:rsidRPr="001D6D44">
        <w:rPr>
          <w:rFonts w:ascii="Times New Roman" w:hAnsi="Times New Roman" w:cs="Times New Roman"/>
        </w:rPr>
        <w:t>Advanced driver analysis: Applies stability selection to partitioning data(microbial/total/shredder), extending Schreiner's substrate focus to urban gradients.</w:t>
      </w:r>
    </w:p>
    <w:p w14:paraId="15B26435" w14:textId="39F421D7" w:rsidR="001D6D44" w:rsidRPr="001D6D44" w:rsidRDefault="0070574B" w:rsidP="001D6D44">
      <w:pPr>
        <w:pStyle w:val="ListParagraph"/>
        <w:numPr>
          <w:ilvl w:val="0"/>
          <w:numId w:val="10"/>
        </w:numPr>
        <w:rPr>
          <w:rFonts w:ascii="Times New Roman" w:hAnsi="Times New Roman" w:cs="Times New Roman"/>
        </w:rPr>
      </w:pPr>
      <w:r>
        <w:rPr>
          <w:rFonts w:ascii="Times New Roman" w:hAnsi="Times New Roman" w:cs="Times New Roman"/>
        </w:rPr>
        <w:t>I</w:t>
      </w:r>
      <w:r w:rsidR="001D6D44" w:rsidRPr="001D6D44">
        <w:rPr>
          <w:rFonts w:ascii="Times New Roman" w:hAnsi="Times New Roman" w:cs="Times New Roman"/>
        </w:rPr>
        <w:t xml:space="preserve">ntegration: Provides mechanistic decomposition insights for </w:t>
      </w:r>
      <w:r w:rsidR="001D6D44">
        <w:rPr>
          <w:rFonts w:ascii="Times New Roman" w:hAnsi="Times New Roman" w:cs="Times New Roman"/>
        </w:rPr>
        <w:t xml:space="preserve">the </w:t>
      </w:r>
      <w:r w:rsidR="001D6D44" w:rsidRPr="001D6D44">
        <w:rPr>
          <w:rFonts w:ascii="Times New Roman" w:hAnsi="Times New Roman" w:cs="Times New Roman"/>
        </w:rPr>
        <w:t>RESIST project stressor framework, linking physic</w:t>
      </w:r>
      <w:r w:rsidR="001D6D44">
        <w:rPr>
          <w:rFonts w:ascii="Times New Roman" w:hAnsi="Times New Roman" w:cs="Times New Roman"/>
        </w:rPr>
        <w:t>al</w:t>
      </w:r>
      <w:r w:rsidR="001D6D44" w:rsidRPr="001D6D44">
        <w:rPr>
          <w:rFonts w:ascii="Times New Roman" w:hAnsi="Times New Roman" w:cs="Times New Roman"/>
        </w:rPr>
        <w:t>-chem</w:t>
      </w:r>
      <w:r w:rsidR="001D6D44">
        <w:rPr>
          <w:rFonts w:ascii="Times New Roman" w:hAnsi="Times New Roman" w:cs="Times New Roman"/>
        </w:rPr>
        <w:t xml:space="preserve"> or </w:t>
      </w:r>
      <w:r w:rsidR="001D6D44" w:rsidRPr="001D6D44">
        <w:rPr>
          <w:rFonts w:ascii="Times New Roman" w:hAnsi="Times New Roman" w:cs="Times New Roman"/>
        </w:rPr>
        <w:t>biology controls missing from macroinvertebrate-only surveys.​</w:t>
      </w:r>
    </w:p>
    <w:p w14:paraId="22E86801" w14:textId="77777777" w:rsidR="001D6D44" w:rsidRPr="001D6D44" w:rsidRDefault="001D6D44" w:rsidP="001D6D44">
      <w:pPr>
        <w:rPr>
          <w:rFonts w:ascii="Times New Roman" w:hAnsi="Times New Roman" w:cs="Times New Roman"/>
        </w:rPr>
      </w:pPr>
    </w:p>
    <w:p w14:paraId="1433FFE3" w14:textId="77777777" w:rsidR="000513C8" w:rsidRPr="001D6D44" w:rsidRDefault="000513C8" w:rsidP="001D6D44">
      <w:pPr>
        <w:rPr>
          <w:rFonts w:ascii="Times New Roman" w:hAnsi="Times New Roman" w:cs="Times New Roman"/>
        </w:rPr>
      </w:pPr>
    </w:p>
    <w:p w14:paraId="6B250949"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References</w:t>
      </w:r>
    </w:p>
    <w:p w14:paraId="06E2380C"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Gutiérrez-Fonseca, P.E. &amp; Alonso-Rodríguez, A.M. (2020). leafdecay R package.​</w:t>
      </w:r>
    </w:p>
    <w:p w14:paraId="2F8CE7DF" w14:textId="77777777" w:rsidR="00EB25F7" w:rsidRPr="001D6D44" w:rsidRDefault="00EB25F7" w:rsidP="001D6D44">
      <w:pPr>
        <w:rPr>
          <w:rFonts w:ascii="Times New Roman" w:hAnsi="Times New Roman" w:cs="Times New Roman"/>
          <w:lang w:val="de-DE"/>
        </w:rPr>
      </w:pPr>
      <w:r w:rsidRPr="001D6D44">
        <w:rPr>
          <w:rFonts w:ascii="Times New Roman" w:hAnsi="Times New Roman" w:cs="Times New Roman"/>
          <w:lang w:val="de-DE"/>
        </w:rPr>
        <w:t>Meinshausen, N. &amp; Bühlmann, P. (2010). J. Royal Stat. Soc. B, 72(4):417-473.​</w:t>
      </w:r>
    </w:p>
    <w:p w14:paraId="4BA822BD" w14:textId="77777777" w:rsidR="00EB25F7" w:rsidRPr="001D6D44" w:rsidRDefault="00EB25F7" w:rsidP="001D6D44">
      <w:pPr>
        <w:rPr>
          <w:rFonts w:ascii="Times New Roman" w:hAnsi="Times New Roman" w:cs="Times New Roman"/>
        </w:rPr>
      </w:pPr>
      <w:r w:rsidRPr="001D6D44">
        <w:rPr>
          <w:rFonts w:ascii="Times New Roman" w:hAnsi="Times New Roman" w:cs="Times New Roman"/>
          <w:lang w:val="de-DE"/>
        </w:rPr>
        <w:t xml:space="preserve">Schreiner, V.C. et al. </w:t>
      </w:r>
      <w:r w:rsidRPr="001D6D44">
        <w:rPr>
          <w:rFonts w:ascii="Times New Roman" w:hAnsi="Times New Roman" w:cs="Times New Roman"/>
        </w:rPr>
        <w:t>(2023). Environ. Toxicol. Chem., 42(9):2007-2018.​</w:t>
      </w:r>
    </w:p>
    <w:p w14:paraId="0C498681" w14:textId="4CE5009E" w:rsidR="00EB25F7" w:rsidRPr="001D6D44" w:rsidRDefault="00EB25F7" w:rsidP="001D6D44">
      <w:pPr>
        <w:rPr>
          <w:rFonts w:ascii="Times New Roman" w:hAnsi="Times New Roman" w:cs="Times New Roman"/>
        </w:rPr>
      </w:pPr>
      <w:r w:rsidRPr="001D6D44">
        <w:rPr>
          <w:rFonts w:ascii="Times New Roman" w:hAnsi="Times New Roman" w:cs="Times New Roman"/>
        </w:rPr>
        <w:t>Tolkkinen, M.J. et al. (2016). PLoS ONE, 11(7</w:t>
      </w:r>
      <w:r w:rsidR="001D6D44" w:rsidRPr="001D6D44">
        <w:rPr>
          <w:rFonts w:ascii="Times New Roman" w:hAnsi="Times New Roman" w:cs="Times New Roman"/>
        </w:rPr>
        <w:t>): e</w:t>
      </w:r>
      <w:r w:rsidRPr="001D6D44">
        <w:rPr>
          <w:rFonts w:ascii="Times New Roman" w:hAnsi="Times New Roman" w:cs="Times New Roman"/>
        </w:rPr>
        <w:t>0158833.​</w:t>
      </w:r>
    </w:p>
    <w:p w14:paraId="7BB9AE2B" w14:textId="77777777" w:rsidR="00EB25F7" w:rsidRPr="001D6D44" w:rsidRDefault="00EB25F7" w:rsidP="001D6D44">
      <w:pPr>
        <w:rPr>
          <w:rFonts w:ascii="Times New Roman" w:hAnsi="Times New Roman" w:cs="Times New Roman"/>
        </w:rPr>
      </w:pPr>
      <w:r w:rsidRPr="001D6D44">
        <w:rPr>
          <w:rFonts w:ascii="Times New Roman" w:hAnsi="Times New Roman" w:cs="Times New Roman"/>
        </w:rPr>
        <w:t>Webster, J.R. &amp; Benfield, E.F. (1986). Annu. Rev. Ecol. Syst., 17:567-594.​</w:t>
      </w:r>
    </w:p>
    <w:p w14:paraId="12B36258" w14:textId="77777777" w:rsidR="0031215D" w:rsidRPr="001D6D44" w:rsidRDefault="0031215D" w:rsidP="001D6D44">
      <w:pPr>
        <w:rPr>
          <w:rFonts w:ascii="Times New Roman" w:hAnsi="Times New Roman" w:cs="Times New Roman"/>
        </w:rPr>
      </w:pPr>
    </w:p>
    <w:p w14:paraId="6783F5AC" w14:textId="77777777" w:rsidR="00B67F70" w:rsidRPr="001D6D44" w:rsidRDefault="00B67F70" w:rsidP="001D6D44">
      <w:pPr>
        <w:rPr>
          <w:rFonts w:ascii="Times New Roman" w:hAnsi="Times New Roman" w:cs="Times New Roman"/>
        </w:rPr>
      </w:pPr>
    </w:p>
    <w:p w14:paraId="4FD2572E" w14:textId="77777777" w:rsidR="001D6D44" w:rsidRPr="001D6D44" w:rsidRDefault="001D6D44">
      <w:pPr>
        <w:rPr>
          <w:rFonts w:ascii="Times New Roman" w:hAnsi="Times New Roman" w:cs="Times New Roman"/>
        </w:rPr>
      </w:pPr>
    </w:p>
    <w:sectPr w:rsidR="001D6D44" w:rsidRPr="001D6D44" w:rsidSect="00A61C0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FC4"/>
    <w:multiLevelType w:val="multilevel"/>
    <w:tmpl w:val="96D4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B05FA"/>
    <w:multiLevelType w:val="multilevel"/>
    <w:tmpl w:val="E7E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02C18"/>
    <w:multiLevelType w:val="hybridMultilevel"/>
    <w:tmpl w:val="A36A9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E679A"/>
    <w:multiLevelType w:val="multilevel"/>
    <w:tmpl w:val="B4E2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BE5121"/>
    <w:multiLevelType w:val="hybridMultilevel"/>
    <w:tmpl w:val="54DA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B53C03"/>
    <w:multiLevelType w:val="multilevel"/>
    <w:tmpl w:val="E7AC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F4631B"/>
    <w:multiLevelType w:val="multilevel"/>
    <w:tmpl w:val="7C76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A51F7C"/>
    <w:multiLevelType w:val="hybridMultilevel"/>
    <w:tmpl w:val="068E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086803"/>
    <w:multiLevelType w:val="multilevel"/>
    <w:tmpl w:val="ED5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27B5A"/>
    <w:multiLevelType w:val="multilevel"/>
    <w:tmpl w:val="181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987249">
    <w:abstractNumId w:val="9"/>
  </w:num>
  <w:num w:numId="2" w16cid:durableId="125053358">
    <w:abstractNumId w:val="1"/>
  </w:num>
  <w:num w:numId="3" w16cid:durableId="256136416">
    <w:abstractNumId w:val="5"/>
  </w:num>
  <w:num w:numId="4" w16cid:durableId="435056199">
    <w:abstractNumId w:val="8"/>
  </w:num>
  <w:num w:numId="5" w16cid:durableId="944309022">
    <w:abstractNumId w:val="0"/>
  </w:num>
  <w:num w:numId="6" w16cid:durableId="1992058457">
    <w:abstractNumId w:val="6"/>
  </w:num>
  <w:num w:numId="7" w16cid:durableId="1244336382">
    <w:abstractNumId w:val="3"/>
  </w:num>
  <w:num w:numId="8" w16cid:durableId="1258716216">
    <w:abstractNumId w:val="4"/>
  </w:num>
  <w:num w:numId="9" w16cid:durableId="405036396">
    <w:abstractNumId w:val="7"/>
  </w:num>
  <w:num w:numId="10" w16cid:durableId="760221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F7"/>
    <w:rsid w:val="00043F34"/>
    <w:rsid w:val="000513C8"/>
    <w:rsid w:val="00150B61"/>
    <w:rsid w:val="0015373E"/>
    <w:rsid w:val="001D6D44"/>
    <w:rsid w:val="0031215D"/>
    <w:rsid w:val="005A329B"/>
    <w:rsid w:val="006C5D43"/>
    <w:rsid w:val="0070574B"/>
    <w:rsid w:val="008E0D76"/>
    <w:rsid w:val="00986A70"/>
    <w:rsid w:val="00A61C0C"/>
    <w:rsid w:val="00B67F70"/>
    <w:rsid w:val="00DE1EF7"/>
    <w:rsid w:val="00EB25F7"/>
    <w:rsid w:val="00F02145"/>
    <w:rsid w:val="00F101C7"/>
    <w:rsid w:val="00FF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7250AC"/>
  <w15:chartTrackingRefBased/>
  <w15:docId w15:val="{B342F286-1E3E-454F-870D-CE1A4ABF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5F7"/>
    <w:rPr>
      <w:rFonts w:eastAsiaTheme="majorEastAsia" w:cstheme="majorBidi"/>
      <w:color w:val="272727" w:themeColor="text1" w:themeTint="D8"/>
    </w:rPr>
  </w:style>
  <w:style w:type="paragraph" w:styleId="Title">
    <w:name w:val="Title"/>
    <w:basedOn w:val="Normal"/>
    <w:next w:val="Normal"/>
    <w:link w:val="TitleChar"/>
    <w:uiPriority w:val="10"/>
    <w:qFormat/>
    <w:rsid w:val="00EB2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5F7"/>
    <w:pPr>
      <w:spacing w:before="160"/>
      <w:jc w:val="center"/>
    </w:pPr>
    <w:rPr>
      <w:i/>
      <w:iCs/>
      <w:color w:val="404040" w:themeColor="text1" w:themeTint="BF"/>
    </w:rPr>
  </w:style>
  <w:style w:type="character" w:customStyle="1" w:styleId="QuoteChar">
    <w:name w:val="Quote Char"/>
    <w:basedOn w:val="DefaultParagraphFont"/>
    <w:link w:val="Quote"/>
    <w:uiPriority w:val="29"/>
    <w:rsid w:val="00EB25F7"/>
    <w:rPr>
      <w:i/>
      <w:iCs/>
      <w:color w:val="404040" w:themeColor="text1" w:themeTint="BF"/>
    </w:rPr>
  </w:style>
  <w:style w:type="paragraph" w:styleId="ListParagraph">
    <w:name w:val="List Paragraph"/>
    <w:basedOn w:val="Normal"/>
    <w:uiPriority w:val="34"/>
    <w:qFormat/>
    <w:rsid w:val="00EB25F7"/>
    <w:pPr>
      <w:ind w:left="720"/>
      <w:contextualSpacing/>
    </w:pPr>
  </w:style>
  <w:style w:type="character" w:styleId="IntenseEmphasis">
    <w:name w:val="Intense Emphasis"/>
    <w:basedOn w:val="DefaultParagraphFont"/>
    <w:uiPriority w:val="21"/>
    <w:qFormat/>
    <w:rsid w:val="00EB25F7"/>
    <w:rPr>
      <w:i/>
      <w:iCs/>
      <w:color w:val="0F4761" w:themeColor="accent1" w:themeShade="BF"/>
    </w:rPr>
  </w:style>
  <w:style w:type="paragraph" w:styleId="IntenseQuote">
    <w:name w:val="Intense Quote"/>
    <w:basedOn w:val="Normal"/>
    <w:next w:val="Normal"/>
    <w:link w:val="IntenseQuoteChar"/>
    <w:uiPriority w:val="30"/>
    <w:qFormat/>
    <w:rsid w:val="00EB2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5F7"/>
    <w:rPr>
      <w:i/>
      <w:iCs/>
      <w:color w:val="0F4761" w:themeColor="accent1" w:themeShade="BF"/>
    </w:rPr>
  </w:style>
  <w:style w:type="character" w:styleId="IntenseReference">
    <w:name w:val="Intense Reference"/>
    <w:basedOn w:val="DefaultParagraphFont"/>
    <w:uiPriority w:val="32"/>
    <w:qFormat/>
    <w:rsid w:val="00EB25F7"/>
    <w:rPr>
      <w:b/>
      <w:bCs/>
      <w:smallCaps/>
      <w:color w:val="0F4761" w:themeColor="accent1" w:themeShade="BF"/>
      <w:spacing w:val="5"/>
    </w:rPr>
  </w:style>
  <w:style w:type="paragraph" w:customStyle="1" w:styleId="my-2">
    <w:name w:val="my-2"/>
    <w:basedOn w:val="Normal"/>
    <w:rsid w:val="00EB25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25F7"/>
    <w:rPr>
      <w:b/>
      <w:bCs/>
    </w:rPr>
  </w:style>
  <w:style w:type="character" w:customStyle="1" w:styleId="apple-converted-space">
    <w:name w:val="apple-converted-space"/>
    <w:basedOn w:val="DefaultParagraphFont"/>
    <w:rsid w:val="00EB25F7"/>
  </w:style>
  <w:style w:type="character" w:styleId="Emphasis">
    <w:name w:val="Emphasis"/>
    <w:basedOn w:val="DefaultParagraphFont"/>
    <w:uiPriority w:val="20"/>
    <w:qFormat/>
    <w:rsid w:val="00EB25F7"/>
    <w:rPr>
      <w:i/>
      <w:iCs/>
    </w:rPr>
  </w:style>
  <w:style w:type="character" w:customStyle="1" w:styleId="inline-flex">
    <w:name w:val="inline-flex"/>
    <w:basedOn w:val="DefaultParagraphFont"/>
    <w:rsid w:val="00EB25F7"/>
  </w:style>
  <w:style w:type="character" w:styleId="HTMLCode">
    <w:name w:val="HTML Code"/>
    <w:basedOn w:val="DefaultParagraphFont"/>
    <w:uiPriority w:val="99"/>
    <w:semiHidden/>
    <w:unhideWhenUsed/>
    <w:rsid w:val="00EB25F7"/>
    <w:rPr>
      <w:rFonts w:ascii="Courier New" w:eastAsia="Times New Roman" w:hAnsi="Courier New" w:cs="Courier New"/>
      <w:sz w:val="20"/>
      <w:szCs w:val="20"/>
    </w:rPr>
  </w:style>
  <w:style w:type="paragraph" w:customStyle="1" w:styleId="content-meta-dataauthors">
    <w:name w:val="content-meta-data__authors"/>
    <w:basedOn w:val="Normal"/>
    <w:rsid w:val="00B67F7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0513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513C8"/>
  </w:style>
  <w:style w:type="paragraph" w:customStyle="1" w:styleId="p2">
    <w:name w:val="p2"/>
    <w:basedOn w:val="Normal"/>
    <w:rsid w:val="000513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8BA39F-B348-024A-A64F-3EA60DEA9E0F}">
  <we:reference id="wa104382081" version="1.55.1.0" store="en-US"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D1FE0-5F10-A84A-B015-7A27EE650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Ikenna Agube</dc:creator>
  <cp:keywords/>
  <dc:description/>
  <cp:lastModifiedBy>Ikenna Agube</cp:lastModifiedBy>
  <cp:revision>9</cp:revision>
  <cp:lastPrinted>2026-02-18T12:30:00Z</cp:lastPrinted>
  <dcterms:created xsi:type="dcterms:W3CDTF">2026-02-18T09:22:00Z</dcterms:created>
  <dcterms:modified xsi:type="dcterms:W3CDTF">2026-02-18T12:52:00Z</dcterms:modified>
</cp:coreProperties>
</file>