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40"/>
        </w:rPr>
        <w:t>Leaf Decomposition Study — Results Report</w:t>
      </w:r>
    </w:p>
    <w:p>
      <w:pPr>
        <w:jc w:val="center"/>
      </w:pPr>
      <w:r>
        <w:rPr>
          <w:i/>
          <w:color w:val="2E75B6"/>
          <w:sz w:val="26"/>
        </w:rPr>
        <w:t>Boye (Urban) &amp; Kinzig (Agricultural) Streams | March 2025</w:t>
      </w:r>
    </w:p>
    <w:p>
      <w:pPr>
        <w:jc w:val="center"/>
      </w:pPr>
      <w:r>
        <w:rPr>
          <w:i/>
          <w:color w:val="555555"/>
          <w:sz w:val="20"/>
        </w:rPr>
        <w:t>Based on Schreiner et al. (2023) — Environmental Toxicology and Chemistry</w:t>
      </w:r>
    </w:p>
    <w:p/>
    <w:p>
      <w:pPr>
        <w:pStyle w:val="Heading1"/>
      </w:pPr>
      <w:r>
        <w:rPr>
          <w:rFonts w:ascii="Arial" w:hAnsi="Arial"/>
          <w:color w:val="1F3864"/>
        </w:rPr>
        <w:t>1. Study Overview</w:t>
      </w:r>
    </w:p>
    <w:p>
      <w:pPr>
        <w:spacing w:before="120" w:after="120"/>
      </w:pPr>
      <w:r>
        <w:rPr>
          <w:rFonts w:ascii="Arial" w:hAnsi="Arial"/>
          <w:b w:val="0"/>
          <w:i w:val="0"/>
          <w:sz w:val="22"/>
        </w:rPr>
        <w:t xml:space="preserve">This report presents the results of a leaf litter bag decomposition field study conducted in March 2025 across two distinct stream catchments: the </w:t>
      </w:r>
      <w:r>
        <w:rPr>
          <w:rFonts w:ascii="Arial" w:hAnsi="Arial"/>
          <w:b/>
          <w:i w:val="0"/>
          <w:sz w:val="22"/>
        </w:rPr>
        <w:t>Boye Stream</w:t>
      </w:r>
      <w:r>
        <w:rPr>
          <w:rFonts w:ascii="Arial" w:hAnsi="Arial"/>
          <w:b w:val="0"/>
          <w:i w:val="0"/>
          <w:sz w:val="22"/>
        </w:rPr>
        <w:t xml:space="preserve"> (urban/industrial catchment) and the </w:t>
      </w:r>
      <w:r>
        <w:rPr>
          <w:rFonts w:ascii="Arial" w:hAnsi="Arial"/>
          <w:b/>
          <w:i w:val="0"/>
          <w:sz w:val="22"/>
        </w:rPr>
        <w:t>Kinzig Stream</w:t>
      </w:r>
      <w:r>
        <w:rPr>
          <w:rFonts w:ascii="Arial" w:hAnsi="Arial"/>
          <w:b w:val="0"/>
          <w:i w:val="0"/>
          <w:sz w:val="22"/>
        </w:rPr>
        <w:t xml:space="preserve"> (predominantly agricultural/rural catchment). Alder leaf litter (</w:t>
      </w:r>
      <w:r>
        <w:rPr>
          <w:rFonts w:ascii="Arial" w:hAnsi="Arial"/>
          <w:b w:val="0"/>
          <w:i/>
          <w:sz w:val="22"/>
        </w:rPr>
        <w:t>Alnus glutinosa</w:t>
      </w:r>
      <w:r>
        <w:rPr>
          <w:rFonts w:ascii="Arial" w:hAnsi="Arial"/>
          <w:b w:val="0"/>
          <w:i w:val="0"/>
          <w:sz w:val="22"/>
        </w:rPr>
        <w:t>) was deployed in fine mesh (0.5 mm) and coarse mesh (10 mm) bags for approximately 15 days. Decomposition rates were quantified as Decomposed Substrate Mass (DSM), normalised by degree-days following Schreiner et al. (2023).</w:t>
      </w:r>
    </w:p>
    <w:p/>
    <w:p>
      <w:pPr>
        <w:pStyle w:val="Heading2"/>
      </w:pPr>
      <w:r>
        <w:rPr>
          <w:rFonts w:ascii="Arial" w:hAnsi="Arial"/>
          <w:color w:val="2E75B6"/>
        </w:rPr>
        <w:t>2. Study Design Summary</w:t>
      </w:r>
    </w:p>
    <w:tbl>
      <w:tblPr>
        <w:tblW w:type="auto" w:w="0"/>
        <w:jc w:val="center"/>
        <w:tblLook w:firstColumn="1" w:firstRow="1" w:lastColumn="0" w:lastRow="0" w:noHBand="0" w:noVBand="1" w:val="04A0"/>
      </w:tblPr>
      <w:tblGrid>
        <w:gridCol w:w="3120"/>
        <w:gridCol w:w="3120"/>
        <w:gridCol w:w="3120"/>
      </w:tblGrid>
      <w:tr>
        <w:tc>
          <w:tcPr>
            <w:tcW w:type="dxa" w:w="1984"/>
            <w:vAlign w:val="center"/>
            <w:shd w:val="clear" w:color="auto" w:fill="2E75B6"/>
            <w:tcBorders>
              <w:top w:val="single" w:sz="4" w:color="AAAAAA"/>
              <w:left w:val="single" w:sz="4" w:color="AAAAAA"/>
              <w:bottom w:val="single" w:sz="4" w:color="AAAAAA"/>
              <w:right w:val="single" w:sz="4" w:color="AAAAAA"/>
            </w:tcBorders>
          </w:tcPr>
          <w:p>
            <w:pPr>
              <w:jc w:val="center"/>
            </w:pPr>
            <w:r>
              <w:rPr>
                <w:b/>
                <w:color w:val="FFFFFF"/>
                <w:sz w:val="18"/>
              </w:rPr>
              <w:t>Parameter</w:t>
            </w:r>
          </w:p>
        </w:tc>
        <w:tc>
          <w:tcPr>
            <w:tcW w:type="dxa" w:w="3118"/>
            <w:vAlign w:val="center"/>
            <w:shd w:val="clear" w:color="auto" w:fill="2E75B6"/>
            <w:tcBorders>
              <w:top w:val="single" w:sz="4" w:color="AAAAAA"/>
              <w:left w:val="single" w:sz="4" w:color="AAAAAA"/>
              <w:bottom w:val="single" w:sz="4" w:color="AAAAAA"/>
              <w:right w:val="single" w:sz="4" w:color="AAAAAA"/>
            </w:tcBorders>
          </w:tcPr>
          <w:p>
            <w:pPr>
              <w:jc w:val="center"/>
            </w:pPr>
            <w:r>
              <w:rPr>
                <w:b/>
                <w:color w:val="FFFFFF"/>
                <w:sz w:val="18"/>
              </w:rPr>
              <w:t>Boye Stream</w:t>
            </w:r>
          </w:p>
        </w:tc>
        <w:tc>
          <w:tcPr>
            <w:tcW w:type="dxa" w:w="3118"/>
            <w:vAlign w:val="center"/>
            <w:shd w:val="clear" w:color="auto" w:fill="2E75B6"/>
            <w:tcBorders>
              <w:top w:val="single" w:sz="4" w:color="AAAAAA"/>
              <w:left w:val="single" w:sz="4" w:color="AAAAAA"/>
              <w:bottom w:val="single" w:sz="4" w:color="AAAAAA"/>
              <w:right w:val="single" w:sz="4" w:color="AAAAAA"/>
            </w:tcBorders>
          </w:tcPr>
          <w:p>
            <w:pPr>
              <w:jc w:val="center"/>
            </w:pPr>
            <w:r>
              <w:rPr>
                <w:b/>
                <w:color w:val="FFFFFF"/>
                <w:sz w:val="18"/>
              </w:rPr>
              <w:t>Kinzig Stream</w:t>
            </w:r>
          </w:p>
        </w:tc>
      </w:tr>
      <w:tr>
        <w:tc>
          <w:tcPr>
            <w:tcW w:type="dxa" w:w="1984"/>
            <w:shd w:val="clear" w:color="auto" w:fill="EEF4FB"/>
            <w:tcBorders>
              <w:top w:val="single" w:sz="4" w:color="AAAAAA"/>
              <w:left w:val="single" w:sz="4" w:color="AAAAAA"/>
              <w:bottom w:val="single" w:sz="4" w:color="AAAAAA"/>
              <w:right w:val="single" w:sz="4" w:color="AAAAAA"/>
            </w:tcBorders>
          </w:tcPr>
          <w:p>
            <w:pPr>
              <w:jc w:val="center"/>
            </w:pPr>
            <w:r>
              <w:rPr>
                <w:sz w:val="18"/>
              </w:rPr>
              <w:t>Catchment type</w:t>
            </w:r>
          </w:p>
        </w:tc>
        <w:tc>
          <w:tcPr>
            <w:tcW w:type="dxa" w:w="3118"/>
            <w:tcBorders>
              <w:top w:val="single" w:sz="4" w:color="AAAAAA"/>
              <w:left w:val="single" w:sz="4" w:color="AAAAAA"/>
              <w:bottom w:val="single" w:sz="4" w:color="AAAAAA"/>
              <w:right w:val="single" w:sz="4" w:color="AAAAAA"/>
            </w:tcBorders>
          </w:tcPr>
          <w:p>
            <w:pPr>
              <w:jc w:val="center"/>
            </w:pPr>
            <w:r>
              <w:rPr>
                <w:sz w:val="18"/>
              </w:rPr>
              <w:t>Urban / Industrial</w:t>
            </w:r>
          </w:p>
        </w:tc>
        <w:tc>
          <w:tcPr>
            <w:tcW w:type="dxa" w:w="3118"/>
            <w:shd w:val="clear" w:color="auto" w:fill="EEF4FB"/>
            <w:tcBorders>
              <w:top w:val="single" w:sz="4" w:color="AAAAAA"/>
              <w:left w:val="single" w:sz="4" w:color="AAAAAA"/>
              <w:bottom w:val="single" w:sz="4" w:color="AAAAAA"/>
              <w:right w:val="single" w:sz="4" w:color="AAAAAA"/>
            </w:tcBorders>
          </w:tcPr>
          <w:p>
            <w:pPr>
              <w:jc w:val="center"/>
            </w:pPr>
            <w:r>
              <w:rPr>
                <w:sz w:val="18"/>
              </w:rPr>
              <w:t>Agricultural / Rural</w:t>
            </w:r>
          </w:p>
        </w:tc>
      </w:tr>
      <w:tr>
        <w:tc>
          <w:tcPr>
            <w:tcW w:type="dxa" w:w="1984"/>
            <w:tcBorders>
              <w:top w:val="single" w:sz="4" w:color="AAAAAA"/>
              <w:left w:val="single" w:sz="4" w:color="AAAAAA"/>
              <w:bottom w:val="single" w:sz="4" w:color="AAAAAA"/>
              <w:right w:val="single" w:sz="4" w:color="AAAAAA"/>
            </w:tcBorders>
          </w:tcPr>
          <w:p>
            <w:pPr>
              <w:jc w:val="center"/>
            </w:pPr>
            <w:r>
              <w:rPr>
                <w:sz w:val="18"/>
              </w:rPr>
              <w:t>No. of sites</w:t>
            </w:r>
          </w:p>
        </w:tc>
        <w:tc>
          <w:tcPr>
            <w:tcW w:type="dxa" w:w="3118"/>
            <w:tcBorders>
              <w:top w:val="single" w:sz="4" w:color="AAAAAA"/>
              <w:left w:val="single" w:sz="4" w:color="AAAAAA"/>
              <w:bottom w:val="single" w:sz="4" w:color="AAAAAA"/>
              <w:right w:val="single" w:sz="4" w:color="AAAAAA"/>
            </w:tcBorders>
          </w:tcPr>
          <w:p>
            <w:pPr>
              <w:jc w:val="center"/>
            </w:pPr>
            <w:r>
              <w:rPr>
                <w:sz w:val="18"/>
              </w:rPr>
              <w:t>23 sites</w:t>
            </w:r>
          </w:p>
        </w:tc>
        <w:tc>
          <w:tcPr>
            <w:tcW w:type="dxa" w:w="3118"/>
            <w:tcBorders>
              <w:top w:val="single" w:sz="4" w:color="AAAAAA"/>
              <w:left w:val="single" w:sz="4" w:color="AAAAAA"/>
              <w:bottom w:val="single" w:sz="4" w:color="AAAAAA"/>
              <w:right w:val="single" w:sz="4" w:color="AAAAAA"/>
            </w:tcBorders>
          </w:tcPr>
          <w:p>
            <w:pPr>
              <w:jc w:val="center"/>
            </w:pPr>
            <w:r>
              <w:rPr>
                <w:sz w:val="18"/>
              </w:rPr>
              <w:t>21 sites</w:t>
            </w:r>
          </w:p>
        </w:tc>
      </w:tr>
      <w:tr>
        <w:tc>
          <w:tcPr>
            <w:tcW w:type="dxa" w:w="1984"/>
            <w:shd w:val="clear" w:color="auto" w:fill="EEF4FB"/>
            <w:tcBorders>
              <w:top w:val="single" w:sz="4" w:color="AAAAAA"/>
              <w:left w:val="single" w:sz="4" w:color="AAAAAA"/>
              <w:bottom w:val="single" w:sz="4" w:color="AAAAAA"/>
              <w:right w:val="single" w:sz="4" w:color="AAAAAA"/>
            </w:tcBorders>
          </w:tcPr>
          <w:p>
            <w:pPr>
              <w:jc w:val="center"/>
            </w:pPr>
            <w:r>
              <w:rPr>
                <w:sz w:val="18"/>
              </w:rPr>
              <w:t>Deployment</w:t>
            </w:r>
          </w:p>
        </w:tc>
        <w:tc>
          <w:tcPr>
            <w:tcW w:type="dxa" w:w="3118"/>
            <w:tcBorders>
              <w:top w:val="single" w:sz="4" w:color="AAAAAA"/>
              <w:left w:val="single" w:sz="4" w:color="AAAAAA"/>
              <w:bottom w:val="single" w:sz="4" w:color="AAAAAA"/>
              <w:right w:val="single" w:sz="4" w:color="AAAAAA"/>
            </w:tcBorders>
          </w:tcPr>
          <w:p>
            <w:pPr>
              <w:jc w:val="center"/>
            </w:pPr>
            <w:r>
              <w:rPr>
                <w:sz w:val="18"/>
              </w:rPr>
              <w:t>4–11 March 2025</w:t>
            </w:r>
          </w:p>
        </w:tc>
        <w:tc>
          <w:tcPr>
            <w:tcW w:type="dxa" w:w="3118"/>
            <w:shd w:val="clear" w:color="auto" w:fill="EEF4FB"/>
            <w:tcBorders>
              <w:top w:val="single" w:sz="4" w:color="AAAAAA"/>
              <w:left w:val="single" w:sz="4" w:color="AAAAAA"/>
              <w:bottom w:val="single" w:sz="4" w:color="AAAAAA"/>
              <w:right w:val="single" w:sz="4" w:color="AAAAAA"/>
            </w:tcBorders>
          </w:tcPr>
          <w:p>
            <w:pPr>
              <w:jc w:val="center"/>
            </w:pPr>
            <w:r>
              <w:rPr>
                <w:sz w:val="18"/>
              </w:rPr>
              <w:t>4–11 March 2025</w:t>
            </w:r>
          </w:p>
        </w:tc>
      </w:tr>
      <w:tr>
        <w:tc>
          <w:tcPr>
            <w:tcW w:type="dxa" w:w="1984"/>
            <w:tcBorders>
              <w:top w:val="single" w:sz="4" w:color="AAAAAA"/>
              <w:left w:val="single" w:sz="4" w:color="AAAAAA"/>
              <w:bottom w:val="single" w:sz="4" w:color="AAAAAA"/>
              <w:right w:val="single" w:sz="4" w:color="AAAAAA"/>
            </w:tcBorders>
          </w:tcPr>
          <w:p>
            <w:pPr>
              <w:jc w:val="center"/>
            </w:pPr>
            <w:r>
              <w:rPr>
                <w:sz w:val="18"/>
              </w:rPr>
              <w:t>Incubation (mean)</w:t>
            </w:r>
          </w:p>
        </w:tc>
        <w:tc>
          <w:tcPr>
            <w:tcW w:type="dxa" w:w="3118"/>
            <w:tcBorders>
              <w:top w:val="single" w:sz="4" w:color="AAAAAA"/>
              <w:left w:val="single" w:sz="4" w:color="AAAAAA"/>
              <w:bottom w:val="single" w:sz="4" w:color="AAAAAA"/>
              <w:right w:val="single" w:sz="4" w:color="AAAAAA"/>
            </w:tcBorders>
          </w:tcPr>
          <w:p>
            <w:pPr>
              <w:jc w:val="center"/>
            </w:pPr>
            <w:r>
              <w:rPr>
                <w:sz w:val="18"/>
              </w:rPr>
              <w:t>~15 days</w:t>
            </w:r>
          </w:p>
        </w:tc>
        <w:tc>
          <w:tcPr>
            <w:tcW w:type="dxa" w:w="3118"/>
            <w:tcBorders>
              <w:top w:val="single" w:sz="4" w:color="AAAAAA"/>
              <w:left w:val="single" w:sz="4" w:color="AAAAAA"/>
              <w:bottom w:val="single" w:sz="4" w:color="AAAAAA"/>
              <w:right w:val="single" w:sz="4" w:color="AAAAAA"/>
            </w:tcBorders>
          </w:tcPr>
          <w:p>
            <w:pPr>
              <w:jc w:val="center"/>
            </w:pPr>
            <w:r>
              <w:rPr>
                <w:sz w:val="18"/>
              </w:rPr>
              <w:t>~15–19 days</w:t>
            </w:r>
          </w:p>
        </w:tc>
      </w:tr>
      <w:tr>
        <w:tc>
          <w:tcPr>
            <w:tcW w:type="dxa" w:w="1984"/>
            <w:shd w:val="clear" w:color="auto" w:fill="EEF4FB"/>
            <w:tcBorders>
              <w:top w:val="single" w:sz="4" w:color="AAAAAA"/>
              <w:left w:val="single" w:sz="4" w:color="AAAAAA"/>
              <w:bottom w:val="single" w:sz="4" w:color="AAAAAA"/>
              <w:right w:val="single" w:sz="4" w:color="AAAAAA"/>
            </w:tcBorders>
          </w:tcPr>
          <w:p>
            <w:pPr>
              <w:jc w:val="center"/>
            </w:pPr>
            <w:r>
              <w:rPr>
                <w:sz w:val="18"/>
              </w:rPr>
              <w:t>Bag types</w:t>
            </w:r>
          </w:p>
        </w:tc>
        <w:tc>
          <w:tcPr>
            <w:tcW w:type="dxa" w:w="3118"/>
            <w:tcBorders>
              <w:top w:val="single" w:sz="4" w:color="AAAAAA"/>
              <w:left w:val="single" w:sz="4" w:color="AAAAAA"/>
              <w:bottom w:val="single" w:sz="4" w:color="AAAAAA"/>
              <w:right w:val="single" w:sz="4" w:color="AAAAAA"/>
            </w:tcBorders>
          </w:tcPr>
          <w:p>
            <w:pPr>
              <w:jc w:val="center"/>
            </w:pPr>
            <w:r>
              <w:rPr>
                <w:sz w:val="18"/>
              </w:rPr>
              <w:t>Fine (0.5 mm) + Coarse (10 mm)</w:t>
            </w:r>
          </w:p>
        </w:tc>
        <w:tc>
          <w:tcPr>
            <w:tcW w:type="dxa" w:w="3118"/>
            <w:shd w:val="clear" w:color="auto" w:fill="EEF4FB"/>
            <w:tcBorders>
              <w:top w:val="single" w:sz="4" w:color="AAAAAA"/>
              <w:left w:val="single" w:sz="4" w:color="AAAAAA"/>
              <w:bottom w:val="single" w:sz="4" w:color="AAAAAA"/>
              <w:right w:val="single" w:sz="4" w:color="AAAAAA"/>
            </w:tcBorders>
          </w:tcPr>
          <w:p>
            <w:pPr>
              <w:jc w:val="center"/>
            </w:pPr>
            <w:r>
              <w:rPr>
                <w:sz w:val="18"/>
              </w:rPr>
              <w:t>Fine (0.5 mm) + Coarse (10 mm)</w:t>
            </w:r>
          </w:p>
        </w:tc>
      </w:tr>
      <w:tr>
        <w:tc>
          <w:tcPr>
            <w:tcW w:type="dxa" w:w="1984"/>
            <w:tcBorders>
              <w:top w:val="single" w:sz="4" w:color="AAAAAA"/>
              <w:left w:val="single" w:sz="4" w:color="AAAAAA"/>
              <w:bottom w:val="single" w:sz="4" w:color="AAAAAA"/>
              <w:right w:val="single" w:sz="4" w:color="AAAAAA"/>
            </w:tcBorders>
          </w:tcPr>
          <w:p>
            <w:pPr>
              <w:jc w:val="center"/>
            </w:pPr>
            <w:r>
              <w:rPr>
                <w:sz w:val="18"/>
              </w:rPr>
              <w:t>Replicates</w:t>
            </w:r>
          </w:p>
        </w:tc>
        <w:tc>
          <w:tcPr>
            <w:tcW w:type="dxa" w:w="3118"/>
            <w:tcBorders>
              <w:top w:val="single" w:sz="4" w:color="AAAAAA"/>
              <w:left w:val="single" w:sz="4" w:color="AAAAAA"/>
              <w:bottom w:val="single" w:sz="4" w:color="AAAAAA"/>
              <w:right w:val="single" w:sz="4" w:color="AAAAAA"/>
            </w:tcBorders>
          </w:tcPr>
          <w:p>
            <w:pPr>
              <w:jc w:val="center"/>
            </w:pPr>
            <w:r>
              <w:rPr>
                <w:sz w:val="18"/>
              </w:rPr>
              <w:t>3 per site per bag type</w:t>
            </w:r>
          </w:p>
        </w:tc>
        <w:tc>
          <w:tcPr>
            <w:tcW w:type="dxa" w:w="3118"/>
            <w:tcBorders>
              <w:top w:val="single" w:sz="4" w:color="AAAAAA"/>
              <w:left w:val="single" w:sz="4" w:color="AAAAAA"/>
              <w:bottom w:val="single" w:sz="4" w:color="AAAAAA"/>
              <w:right w:val="single" w:sz="4" w:color="AAAAAA"/>
            </w:tcBorders>
          </w:tcPr>
          <w:p>
            <w:pPr>
              <w:jc w:val="center"/>
            </w:pPr>
            <w:r>
              <w:rPr>
                <w:sz w:val="18"/>
              </w:rPr>
              <w:t>3 per site per bag type</w:t>
            </w:r>
          </w:p>
        </w:tc>
      </w:tr>
      <w:tr>
        <w:tc>
          <w:tcPr>
            <w:tcW w:type="dxa" w:w="1984"/>
            <w:shd w:val="clear" w:color="auto" w:fill="EEF4FB"/>
            <w:tcBorders>
              <w:top w:val="single" w:sz="4" w:color="AAAAAA"/>
              <w:left w:val="single" w:sz="4" w:color="AAAAAA"/>
              <w:bottom w:val="single" w:sz="4" w:color="AAAAAA"/>
              <w:right w:val="single" w:sz="4" w:color="AAAAAA"/>
            </w:tcBorders>
          </w:tcPr>
          <w:p>
            <w:pPr>
              <w:jc w:val="center"/>
            </w:pPr>
            <w:r>
              <w:rPr>
                <w:sz w:val="18"/>
              </w:rPr>
              <w:t>Leaf species</w:t>
            </w:r>
          </w:p>
        </w:tc>
        <w:tc>
          <w:tcPr>
            <w:tcW w:type="dxa" w:w="3118"/>
            <w:tcBorders>
              <w:top w:val="single" w:sz="4" w:color="AAAAAA"/>
              <w:left w:val="single" w:sz="4" w:color="AAAAAA"/>
              <w:bottom w:val="single" w:sz="4" w:color="AAAAAA"/>
              <w:right w:val="single" w:sz="4" w:color="AAAAAA"/>
            </w:tcBorders>
          </w:tcPr>
          <w:p>
            <w:pPr>
              <w:jc w:val="center"/>
            </w:pPr>
            <w:r>
              <w:rPr>
                <w:sz w:val="18"/>
              </w:rPr>
              <w:t>Alder (Alnus glutinosa)</w:t>
            </w:r>
          </w:p>
        </w:tc>
        <w:tc>
          <w:tcPr>
            <w:tcW w:type="dxa" w:w="3118"/>
            <w:shd w:val="clear" w:color="auto" w:fill="EEF4FB"/>
            <w:tcBorders>
              <w:top w:val="single" w:sz="4" w:color="AAAAAA"/>
              <w:left w:val="single" w:sz="4" w:color="AAAAAA"/>
              <w:bottom w:val="single" w:sz="4" w:color="AAAAAA"/>
              <w:right w:val="single" w:sz="4" w:color="AAAAAA"/>
            </w:tcBorders>
          </w:tcPr>
          <w:p>
            <w:pPr>
              <w:jc w:val="center"/>
            </w:pPr>
            <w:r>
              <w:rPr>
                <w:sz w:val="18"/>
              </w:rPr>
              <w:t>Alder (Alnus glutinosa)</w:t>
            </w:r>
          </w:p>
        </w:tc>
      </w:tr>
      <w:tr>
        <w:tc>
          <w:tcPr>
            <w:tcW w:type="dxa" w:w="1984"/>
            <w:tcBorders>
              <w:top w:val="single" w:sz="4" w:color="AAAAAA"/>
              <w:left w:val="single" w:sz="4" w:color="AAAAAA"/>
              <w:bottom w:val="single" w:sz="4" w:color="AAAAAA"/>
              <w:right w:val="single" w:sz="4" w:color="AAAAAA"/>
            </w:tcBorders>
          </w:tcPr>
          <w:p>
            <w:pPr>
              <w:jc w:val="center"/>
            </w:pPr>
            <w:r>
              <w:rPr>
                <w:sz w:val="18"/>
              </w:rPr>
              <w:t>Mean conductivity</w:t>
            </w:r>
          </w:p>
        </w:tc>
        <w:tc>
          <w:tcPr>
            <w:tcW w:type="dxa" w:w="3118"/>
            <w:tcBorders>
              <w:top w:val="single" w:sz="4" w:color="AAAAAA"/>
              <w:left w:val="single" w:sz="4" w:color="AAAAAA"/>
              <w:bottom w:val="single" w:sz="4" w:color="AAAAAA"/>
              <w:right w:val="single" w:sz="4" w:color="AAAAAA"/>
            </w:tcBorders>
          </w:tcPr>
          <w:p>
            <w:pPr>
              <w:jc w:val="center"/>
            </w:pPr>
            <w:r>
              <w:rPr>
                <w:sz w:val="18"/>
              </w:rPr>
              <w:t>854.8 µS/cm</w:t>
            </w:r>
          </w:p>
        </w:tc>
        <w:tc>
          <w:tcPr>
            <w:tcW w:type="dxa" w:w="3118"/>
            <w:tcBorders>
              <w:top w:val="single" w:sz="4" w:color="AAAAAA"/>
              <w:left w:val="single" w:sz="4" w:color="AAAAAA"/>
              <w:bottom w:val="single" w:sz="4" w:color="AAAAAA"/>
              <w:right w:val="single" w:sz="4" w:color="AAAAAA"/>
            </w:tcBorders>
          </w:tcPr>
          <w:p>
            <w:pPr>
              <w:jc w:val="center"/>
            </w:pPr>
            <w:r>
              <w:rPr>
                <w:sz w:val="18"/>
              </w:rPr>
              <w:t>330.7 µS/cm</w:t>
            </w:r>
          </w:p>
        </w:tc>
      </w:tr>
      <w:tr>
        <w:tc>
          <w:tcPr>
            <w:tcW w:type="dxa" w:w="1984"/>
            <w:shd w:val="clear" w:color="auto" w:fill="EEF4FB"/>
            <w:tcBorders>
              <w:top w:val="single" w:sz="4" w:color="AAAAAA"/>
              <w:left w:val="single" w:sz="4" w:color="AAAAAA"/>
              <w:bottom w:val="single" w:sz="4" w:color="AAAAAA"/>
              <w:right w:val="single" w:sz="4" w:color="AAAAAA"/>
            </w:tcBorders>
          </w:tcPr>
          <w:p>
            <w:pPr>
              <w:jc w:val="center"/>
            </w:pPr>
            <w:r>
              <w:rPr>
                <w:sz w:val="18"/>
              </w:rPr>
              <w:t>Mean % urban</w:t>
            </w:r>
          </w:p>
        </w:tc>
        <w:tc>
          <w:tcPr>
            <w:tcW w:type="dxa" w:w="3118"/>
            <w:tcBorders>
              <w:top w:val="single" w:sz="4" w:color="AAAAAA"/>
              <w:left w:val="single" w:sz="4" w:color="AAAAAA"/>
              <w:bottom w:val="single" w:sz="4" w:color="AAAAAA"/>
              <w:right w:val="single" w:sz="4" w:color="AAAAAA"/>
            </w:tcBorders>
          </w:tcPr>
          <w:p>
            <w:pPr>
              <w:jc w:val="center"/>
            </w:pPr>
            <w:r>
              <w:rPr>
                <w:sz w:val="18"/>
              </w:rPr>
              <w:t>41.5 %</w:t>
            </w:r>
          </w:p>
        </w:tc>
        <w:tc>
          <w:tcPr>
            <w:tcW w:type="dxa" w:w="3118"/>
            <w:shd w:val="clear" w:color="auto" w:fill="EEF4FB"/>
            <w:tcBorders>
              <w:top w:val="single" w:sz="4" w:color="AAAAAA"/>
              <w:left w:val="single" w:sz="4" w:color="AAAAAA"/>
              <w:bottom w:val="single" w:sz="4" w:color="AAAAAA"/>
              <w:right w:val="single" w:sz="4" w:color="AAAAAA"/>
            </w:tcBorders>
          </w:tcPr>
          <w:p>
            <w:pPr>
              <w:jc w:val="center"/>
            </w:pPr>
            <w:r>
              <w:rPr>
                <w:sz w:val="18"/>
              </w:rPr>
              <w:t>3.0 %</w:t>
            </w:r>
          </w:p>
        </w:tc>
      </w:tr>
      <w:tr>
        <w:tc>
          <w:tcPr>
            <w:tcW w:type="dxa" w:w="1984"/>
            <w:tcBorders>
              <w:top w:val="single" w:sz="4" w:color="AAAAAA"/>
              <w:left w:val="single" w:sz="4" w:color="AAAAAA"/>
              <w:bottom w:val="single" w:sz="4" w:color="AAAAAA"/>
              <w:right w:val="single" w:sz="4" w:color="AAAAAA"/>
            </w:tcBorders>
          </w:tcPr>
          <w:p>
            <w:pPr>
              <w:jc w:val="center"/>
            </w:pPr>
            <w:r>
              <w:rPr>
                <w:sz w:val="18"/>
              </w:rPr>
              <w:t>Mean % agricultural</w:t>
            </w:r>
          </w:p>
        </w:tc>
        <w:tc>
          <w:tcPr>
            <w:tcW w:type="dxa" w:w="3118"/>
            <w:tcBorders>
              <w:top w:val="single" w:sz="4" w:color="AAAAAA"/>
              <w:left w:val="single" w:sz="4" w:color="AAAAAA"/>
              <w:bottom w:val="single" w:sz="4" w:color="AAAAAA"/>
              <w:right w:val="single" w:sz="4" w:color="AAAAAA"/>
            </w:tcBorders>
          </w:tcPr>
          <w:p>
            <w:pPr>
              <w:jc w:val="center"/>
            </w:pPr>
            <w:r>
              <w:rPr>
                <w:sz w:val="18"/>
              </w:rPr>
              <w:t>39.8 %</w:t>
            </w:r>
          </w:p>
        </w:tc>
        <w:tc>
          <w:tcPr>
            <w:tcW w:type="dxa" w:w="3118"/>
            <w:tcBorders>
              <w:top w:val="single" w:sz="4" w:color="AAAAAA"/>
              <w:left w:val="single" w:sz="4" w:color="AAAAAA"/>
              <w:bottom w:val="single" w:sz="4" w:color="AAAAAA"/>
              <w:right w:val="single" w:sz="4" w:color="AAAAAA"/>
            </w:tcBorders>
          </w:tcPr>
          <w:p>
            <w:pPr>
              <w:jc w:val="center"/>
            </w:pPr>
            <w:r>
              <w:rPr>
                <w:sz w:val="18"/>
              </w:rPr>
              <w:t>52.1 %</w:t>
            </w:r>
          </w:p>
        </w:tc>
      </w:tr>
      <w:tr>
        <w:tc>
          <w:tcPr>
            <w:tcW w:type="dxa" w:w="1984"/>
            <w:shd w:val="clear" w:color="auto" w:fill="EEF4FB"/>
            <w:tcBorders>
              <w:top w:val="single" w:sz="4" w:color="AAAAAA"/>
              <w:left w:val="single" w:sz="4" w:color="AAAAAA"/>
              <w:bottom w:val="single" w:sz="4" w:color="AAAAAA"/>
              <w:right w:val="single" w:sz="4" w:color="AAAAAA"/>
            </w:tcBorders>
          </w:tcPr>
          <w:p>
            <w:pPr>
              <w:jc w:val="center"/>
            </w:pPr>
            <w:r>
              <w:rPr>
                <w:sz w:val="18"/>
              </w:rPr>
              <w:t>Total bags deployed</w:t>
            </w:r>
          </w:p>
        </w:tc>
        <w:tc>
          <w:tcPr>
            <w:tcW w:type="dxa" w:w="3118"/>
            <w:tcBorders>
              <w:top w:val="single" w:sz="4" w:color="AAAAAA"/>
              <w:left w:val="single" w:sz="4" w:color="AAAAAA"/>
              <w:bottom w:val="single" w:sz="4" w:color="AAAAAA"/>
              <w:right w:val="single" w:sz="4" w:color="AAAAAA"/>
            </w:tcBorders>
          </w:tcPr>
          <w:p>
            <w:pPr>
              <w:jc w:val="center"/>
            </w:pPr>
            <w:r>
              <w:rPr>
                <w:sz w:val="18"/>
              </w:rPr>
              <w:t>138 bags (23×6)</w:t>
            </w:r>
          </w:p>
        </w:tc>
        <w:tc>
          <w:tcPr>
            <w:tcW w:type="dxa" w:w="3118"/>
            <w:shd w:val="clear" w:color="auto" w:fill="EEF4FB"/>
            <w:tcBorders>
              <w:top w:val="single" w:sz="4" w:color="AAAAAA"/>
              <w:left w:val="single" w:sz="4" w:color="AAAAAA"/>
              <w:bottom w:val="single" w:sz="4" w:color="AAAAAA"/>
              <w:right w:val="single" w:sz="4" w:color="AAAAAA"/>
            </w:tcBorders>
          </w:tcPr>
          <w:p>
            <w:pPr>
              <w:jc w:val="center"/>
            </w:pPr>
            <w:r>
              <w:rPr>
                <w:sz w:val="18"/>
              </w:rPr>
              <w:t>126 bags (21×6)</w:t>
            </w:r>
          </w:p>
        </w:tc>
      </w:tr>
    </w:tbl>
    <w:p/>
    <w:p>
      <w:pPr>
        <w:jc w:val="center"/>
      </w:pPr>
      <w:r>
        <w:rPr>
          <w:i/>
          <w:sz w:val="18"/>
        </w:rPr>
        <w:t>Table 1. Summary of study design and catchment characteristics.</w:t>
      </w:r>
    </w:p>
    <w:p>
      <w:pPr>
        <w:pStyle w:val="Heading2"/>
      </w:pPr>
      <w:r>
        <w:rPr>
          <w:rFonts w:ascii="Arial" w:hAnsi="Arial"/>
          <w:color w:val="2E75B6"/>
        </w:rPr>
        <w:t>3. DSM Computation Method</w:t>
      </w:r>
    </w:p>
    <w:p>
      <w:pPr>
        <w:spacing w:before="120" w:after="120"/>
      </w:pPr>
      <w:r>
        <w:rPr>
          <w:rFonts w:ascii="Arial" w:hAnsi="Arial"/>
          <w:b w:val="0"/>
          <w:i w:val="0"/>
          <w:sz w:val="22"/>
        </w:rPr>
        <w:t>The Decomposed Substrate Mass (DSM) was calculated per leaf bag as:</w:t>
      </w:r>
    </w:p>
    <w:p>
      <w:pPr>
        <w:jc w:val="center"/>
      </w:pPr>
      <w:r>
        <w:rPr>
          <w:b/>
          <w:color w:val="1F3864"/>
          <w:sz w:val="22"/>
        </w:rPr>
        <w:t>DSM = [(AFDM_start − AFDM_end) / AFDM_start] ÷ degree-days × 100</w:t>
      </w:r>
    </w:p>
    <w:p>
      <w:pPr>
        <w:spacing w:before="120" w:after="120"/>
      </w:pPr>
      <w:r>
        <w:rPr>
          <w:rFonts w:ascii="Arial" w:hAnsi="Arial"/>
          <w:b w:val="0"/>
          <w:i w:val="0"/>
          <w:sz w:val="22"/>
        </w:rPr>
        <w:t xml:space="preserve">Where </w:t>
      </w:r>
      <w:r>
        <w:rPr>
          <w:rFonts w:ascii="Arial" w:hAnsi="Arial"/>
          <w:b/>
          <w:i w:val="0"/>
          <w:sz w:val="22"/>
        </w:rPr>
        <w:t>AFDM_start</w:t>
      </w:r>
      <w:r>
        <w:rPr>
          <w:rFonts w:ascii="Arial" w:hAnsi="Arial"/>
          <w:b w:val="0"/>
          <w:i w:val="0"/>
          <w:sz w:val="22"/>
        </w:rPr>
        <w:t xml:space="preserve"> was derived from transport control corrections; </w:t>
      </w:r>
      <w:r>
        <w:rPr>
          <w:rFonts w:ascii="Arial" w:hAnsi="Arial"/>
          <w:b/>
          <w:i w:val="0"/>
          <w:sz w:val="22"/>
        </w:rPr>
        <w:t>AFDM_end</w:t>
      </w:r>
      <w:r>
        <w:rPr>
          <w:rFonts w:ascii="Arial" w:hAnsi="Arial"/>
          <w:b w:val="0"/>
          <w:i w:val="0"/>
          <w:sz w:val="22"/>
        </w:rPr>
        <w:t xml:space="preserve"> = mass at 60°C − mass at 500°C; </w:t>
      </w:r>
      <w:r>
        <w:rPr>
          <w:rFonts w:ascii="Arial" w:hAnsi="Arial"/>
          <w:b/>
          <w:i w:val="0"/>
          <w:sz w:val="22"/>
        </w:rPr>
        <w:t>degree-days</w:t>
      </w:r>
      <w:r>
        <w:rPr>
          <w:rFonts w:ascii="Arial" w:hAnsi="Arial"/>
          <w:b w:val="0"/>
          <w:i w:val="0"/>
          <w:sz w:val="22"/>
        </w:rPr>
        <w:t xml:space="preserve"> = mean water temperature × incubation days. Leaf disk corrections: 12 mg per disk removed. Negative DSM values excluded.</w:t>
      </w:r>
    </w:p>
    <w:p>
      <w:r>
        <w:br w:type="page"/>
      </w:r>
    </w:p>
    <w:p>
      <w:pPr>
        <w:pStyle w:val="Heading1"/>
      </w:pPr>
      <w:r>
        <w:rPr>
          <w:rFonts w:ascii="Arial" w:hAnsi="Arial"/>
          <w:color w:val="1F3864"/>
        </w:rPr>
        <w:t>4. Results</w:t>
      </w:r>
    </w:p>
    <w:p>
      <w:pPr>
        <w:pStyle w:val="Heading2"/>
      </w:pPr>
      <w:r>
        <w:rPr>
          <w:rFonts w:ascii="Arial" w:hAnsi="Arial"/>
          <w:color w:val="2E75B6"/>
        </w:rPr>
        <w:t>4.1 Overall Decomposition Rates</w:t>
      </w:r>
    </w:p>
    <w:p>
      <w:pPr>
        <w:spacing w:before="120" w:after="120"/>
      </w:pPr>
      <w:r>
        <w:rPr>
          <w:rFonts w:ascii="Arial" w:hAnsi="Arial"/>
          <w:b w:val="0"/>
          <w:i w:val="0"/>
          <w:sz w:val="22"/>
        </w:rPr>
        <w:t xml:space="preserve">Leaf decomposition differed substantially between bag types and streams. Coarse mesh bags decomposed at </w:t>
      </w:r>
      <w:r>
        <w:rPr>
          <w:rFonts w:ascii="Arial" w:hAnsi="Arial"/>
          <w:b/>
          <w:i w:val="0"/>
          <w:sz w:val="22"/>
        </w:rPr>
        <w:t>approximately 3× the rate</w:t>
      </w:r>
      <w:r>
        <w:rPr>
          <w:rFonts w:ascii="Arial" w:hAnsi="Arial"/>
          <w:b w:val="0"/>
          <w:i w:val="0"/>
          <w:sz w:val="22"/>
        </w:rPr>
        <w:t xml:space="preserve"> of fine mesh bags in both streams, confirming significant invertebrate shredder contributions. Boye showed higher absolute DSM values than Kinzig, consistent with its elevated nutrient loading.</w:t>
      </w:r>
    </w:p>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val="clear" w:color="auto" w:fill="2E75B6"/>
            <w:tcBorders>
              <w:top w:val="single" w:sz="4" w:color="AAAAAA"/>
              <w:left w:val="single" w:sz="4" w:color="AAAAAA"/>
              <w:bottom w:val="single" w:sz="4" w:color="AAAAAA"/>
              <w:right w:val="single" w:sz="4" w:color="AAAAAA"/>
            </w:tcBorders>
          </w:tcPr>
          <w:p>
            <w:pPr>
              <w:jc w:val="center"/>
            </w:pPr>
            <w:r>
              <w:rPr>
                <w:b/>
                <w:color w:val="FFFFFF"/>
                <w:sz w:val="18"/>
              </w:rPr>
              <w:t>Stream</w:t>
            </w:r>
          </w:p>
        </w:tc>
        <w:tc>
          <w:tcPr>
            <w:tcW w:type="dxa" w:w="1337"/>
            <w:vAlign w:val="center"/>
            <w:shd w:val="clear" w:color="auto" w:fill="2E75B6"/>
            <w:tcBorders>
              <w:top w:val="single" w:sz="4" w:color="AAAAAA"/>
              <w:left w:val="single" w:sz="4" w:color="AAAAAA"/>
              <w:bottom w:val="single" w:sz="4" w:color="AAAAAA"/>
              <w:right w:val="single" w:sz="4" w:color="AAAAAA"/>
            </w:tcBorders>
          </w:tcPr>
          <w:p>
            <w:pPr>
              <w:jc w:val="center"/>
            </w:pPr>
            <w:r>
              <w:rPr>
                <w:b/>
                <w:color w:val="FFFFFF"/>
                <w:sz w:val="18"/>
              </w:rPr>
              <w:t>Bag Type</w:t>
            </w:r>
          </w:p>
        </w:tc>
        <w:tc>
          <w:tcPr>
            <w:tcW w:type="dxa" w:w="1337"/>
            <w:vAlign w:val="center"/>
            <w:shd w:val="clear" w:color="auto" w:fill="2E75B6"/>
            <w:tcBorders>
              <w:top w:val="single" w:sz="4" w:color="AAAAAA"/>
              <w:left w:val="single" w:sz="4" w:color="AAAAAA"/>
              <w:bottom w:val="single" w:sz="4" w:color="AAAAAA"/>
              <w:right w:val="single" w:sz="4" w:color="AAAAAA"/>
            </w:tcBorders>
          </w:tcPr>
          <w:p>
            <w:pPr>
              <w:jc w:val="center"/>
            </w:pPr>
            <w:r>
              <w:rPr>
                <w:b/>
                <w:color w:val="FFFFFF"/>
                <w:sz w:val="18"/>
              </w:rPr>
              <w:t>n bags</w:t>
            </w:r>
          </w:p>
        </w:tc>
        <w:tc>
          <w:tcPr>
            <w:tcW w:type="dxa" w:w="1337"/>
            <w:vAlign w:val="center"/>
            <w:shd w:val="clear" w:color="auto" w:fill="2E75B6"/>
            <w:tcBorders>
              <w:top w:val="single" w:sz="4" w:color="AAAAAA"/>
              <w:left w:val="single" w:sz="4" w:color="AAAAAA"/>
              <w:bottom w:val="single" w:sz="4" w:color="AAAAAA"/>
              <w:right w:val="single" w:sz="4" w:color="AAAAAA"/>
            </w:tcBorders>
          </w:tcPr>
          <w:p>
            <w:pPr>
              <w:jc w:val="center"/>
            </w:pPr>
            <w:r>
              <w:rPr>
                <w:b/>
                <w:color w:val="FFFFFF"/>
                <w:sz w:val="18"/>
              </w:rPr>
              <w:t>Mean DSM</w:t>
            </w:r>
          </w:p>
        </w:tc>
        <w:tc>
          <w:tcPr>
            <w:tcW w:type="dxa" w:w="1337"/>
            <w:vAlign w:val="center"/>
            <w:shd w:val="clear" w:color="auto" w:fill="2E75B6"/>
            <w:tcBorders>
              <w:top w:val="single" w:sz="4" w:color="AAAAAA"/>
              <w:left w:val="single" w:sz="4" w:color="AAAAAA"/>
              <w:bottom w:val="single" w:sz="4" w:color="AAAAAA"/>
              <w:right w:val="single" w:sz="4" w:color="AAAAAA"/>
            </w:tcBorders>
          </w:tcPr>
          <w:p>
            <w:pPr>
              <w:jc w:val="center"/>
            </w:pPr>
            <w:r>
              <w:rPr>
                <w:b/>
                <w:color w:val="FFFFFF"/>
                <w:sz w:val="18"/>
              </w:rPr>
              <w:t>SD</w:t>
            </w:r>
          </w:p>
        </w:tc>
        <w:tc>
          <w:tcPr>
            <w:tcW w:type="dxa" w:w="1337"/>
            <w:vAlign w:val="center"/>
            <w:shd w:val="clear" w:color="auto" w:fill="2E75B6"/>
            <w:tcBorders>
              <w:top w:val="single" w:sz="4" w:color="AAAAAA"/>
              <w:left w:val="single" w:sz="4" w:color="AAAAAA"/>
              <w:bottom w:val="single" w:sz="4" w:color="AAAAAA"/>
              <w:right w:val="single" w:sz="4" w:color="AAAAAA"/>
            </w:tcBorders>
          </w:tcPr>
          <w:p>
            <w:pPr>
              <w:jc w:val="center"/>
            </w:pPr>
            <w:r>
              <w:rPr>
                <w:b/>
                <w:color w:val="FFFFFF"/>
                <w:sz w:val="18"/>
              </w:rPr>
              <w:t>Min DSM</w:t>
            </w:r>
          </w:p>
        </w:tc>
        <w:tc>
          <w:tcPr>
            <w:tcW w:type="dxa" w:w="1337"/>
            <w:vAlign w:val="center"/>
            <w:shd w:val="clear" w:color="auto" w:fill="2E75B6"/>
            <w:tcBorders>
              <w:top w:val="single" w:sz="4" w:color="AAAAAA"/>
              <w:left w:val="single" w:sz="4" w:color="AAAAAA"/>
              <w:bottom w:val="single" w:sz="4" w:color="AAAAAA"/>
              <w:right w:val="single" w:sz="4" w:color="AAAAAA"/>
            </w:tcBorders>
          </w:tcPr>
          <w:p>
            <w:pPr>
              <w:jc w:val="center"/>
            </w:pPr>
            <w:r>
              <w:rPr>
                <w:b/>
                <w:color w:val="FFFFFF"/>
                <w:sz w:val="18"/>
              </w:rPr>
              <w:t>Max DSM</w:t>
            </w:r>
          </w:p>
        </w:tc>
      </w:tr>
      <w:tr>
        <w:tc>
          <w:tcPr>
            <w:tcW w:type="dxa" w:w="1337"/>
            <w:tcBorders>
              <w:top w:val="single" w:sz="4" w:color="AAAAAA"/>
              <w:left w:val="single" w:sz="4" w:color="AAAAAA"/>
              <w:bottom w:val="single" w:sz="4" w:color="AAAAAA"/>
              <w:right w:val="single" w:sz="4" w:color="AAAAAA"/>
            </w:tcBorders>
          </w:tcPr>
          <w:p>
            <w:pPr>
              <w:jc w:val="center"/>
            </w:pPr>
            <w:r>
              <w:rPr>
                <w:sz w:val="18"/>
              </w:rPr>
              <w:t>Boye</w:t>
            </w:r>
          </w:p>
        </w:tc>
        <w:tc>
          <w:tcPr>
            <w:tcW w:type="dxa" w:w="1337"/>
            <w:tcBorders>
              <w:top w:val="single" w:sz="4" w:color="AAAAAA"/>
              <w:left w:val="single" w:sz="4" w:color="AAAAAA"/>
              <w:bottom w:val="single" w:sz="4" w:color="AAAAAA"/>
              <w:right w:val="single" w:sz="4" w:color="AAAAAA"/>
            </w:tcBorders>
          </w:tcPr>
          <w:p>
            <w:pPr>
              <w:jc w:val="center"/>
            </w:pPr>
            <w:r>
              <w:rPr>
                <w:sz w:val="18"/>
              </w:rPr>
              <w:t>Fine mesh</w:t>
            </w:r>
          </w:p>
        </w:tc>
        <w:tc>
          <w:tcPr>
            <w:tcW w:type="dxa" w:w="1337"/>
            <w:tcBorders>
              <w:top w:val="single" w:sz="4" w:color="AAAAAA"/>
              <w:left w:val="single" w:sz="4" w:color="AAAAAA"/>
              <w:bottom w:val="single" w:sz="4" w:color="AAAAAA"/>
              <w:right w:val="single" w:sz="4" w:color="AAAAAA"/>
            </w:tcBorders>
          </w:tcPr>
          <w:p>
            <w:pPr>
              <w:jc w:val="center"/>
            </w:pPr>
            <w:r>
              <w:rPr>
                <w:sz w:val="18"/>
              </w:rPr>
              <w:t>64</w:t>
            </w:r>
          </w:p>
        </w:tc>
        <w:tc>
          <w:tcPr>
            <w:tcW w:type="dxa" w:w="1337"/>
            <w:tcBorders>
              <w:top w:val="single" w:sz="4" w:color="AAAAAA"/>
              <w:left w:val="single" w:sz="4" w:color="AAAAAA"/>
              <w:bottom w:val="single" w:sz="4" w:color="AAAAAA"/>
              <w:right w:val="single" w:sz="4" w:color="AAAAAA"/>
            </w:tcBorders>
          </w:tcPr>
          <w:p>
            <w:pPr>
              <w:jc w:val="center"/>
            </w:pPr>
            <w:r>
              <w:rPr>
                <w:sz w:val="18"/>
              </w:rPr>
              <w:t>0.1730</w:t>
            </w:r>
          </w:p>
        </w:tc>
        <w:tc>
          <w:tcPr>
            <w:tcW w:type="dxa" w:w="1337"/>
            <w:tcBorders>
              <w:top w:val="single" w:sz="4" w:color="AAAAAA"/>
              <w:left w:val="single" w:sz="4" w:color="AAAAAA"/>
              <w:bottom w:val="single" w:sz="4" w:color="AAAAAA"/>
              <w:right w:val="single" w:sz="4" w:color="AAAAAA"/>
            </w:tcBorders>
          </w:tcPr>
          <w:p>
            <w:pPr>
              <w:jc w:val="center"/>
            </w:pPr>
            <w:r>
              <w:rPr>
                <w:sz w:val="18"/>
              </w:rPr>
              <w:t>0.0349</w:t>
            </w:r>
          </w:p>
        </w:tc>
        <w:tc>
          <w:tcPr>
            <w:tcW w:type="dxa" w:w="1337"/>
            <w:tcBorders>
              <w:top w:val="single" w:sz="4" w:color="AAAAAA"/>
              <w:left w:val="single" w:sz="4" w:color="AAAAAA"/>
              <w:bottom w:val="single" w:sz="4" w:color="AAAAAA"/>
              <w:right w:val="single" w:sz="4" w:color="AAAAAA"/>
            </w:tcBorders>
          </w:tcPr>
          <w:p>
            <w:pPr>
              <w:jc w:val="center"/>
            </w:pPr>
            <w:r>
              <w:rPr>
                <w:sz w:val="18"/>
              </w:rPr>
              <w:t>0.0824</w:t>
            </w:r>
          </w:p>
        </w:tc>
        <w:tc>
          <w:tcPr>
            <w:tcW w:type="dxa" w:w="1337"/>
            <w:tcBorders>
              <w:top w:val="single" w:sz="4" w:color="AAAAAA"/>
              <w:left w:val="single" w:sz="4" w:color="AAAAAA"/>
              <w:bottom w:val="single" w:sz="4" w:color="AAAAAA"/>
              <w:right w:val="single" w:sz="4" w:color="AAAAAA"/>
            </w:tcBorders>
          </w:tcPr>
          <w:p>
            <w:pPr>
              <w:jc w:val="center"/>
            </w:pPr>
            <w:r>
              <w:rPr>
                <w:sz w:val="18"/>
              </w:rPr>
              <w:t>0.2718</w:t>
            </w:r>
          </w:p>
        </w:tc>
      </w:tr>
      <w:tr>
        <w:tc>
          <w:tcPr>
            <w:tcW w:type="dxa" w:w="1337"/>
            <w:shd w:val="clear" w:color="auto" w:fill="EEF4FB"/>
            <w:tcBorders>
              <w:top w:val="single" w:sz="4" w:color="AAAAAA"/>
              <w:left w:val="single" w:sz="4" w:color="AAAAAA"/>
              <w:bottom w:val="single" w:sz="4" w:color="AAAAAA"/>
              <w:right w:val="single" w:sz="4" w:color="AAAAAA"/>
            </w:tcBorders>
          </w:tcPr>
          <w:p>
            <w:pPr>
              <w:jc w:val="center"/>
            </w:pPr>
            <w:r>
              <w:rPr>
                <w:sz w:val="18"/>
              </w:rPr>
              <w:t>Boye</w:t>
            </w:r>
          </w:p>
        </w:tc>
        <w:tc>
          <w:tcPr>
            <w:tcW w:type="dxa" w:w="1337"/>
            <w:tcBorders>
              <w:top w:val="single" w:sz="4" w:color="AAAAAA"/>
              <w:left w:val="single" w:sz="4" w:color="AAAAAA"/>
              <w:bottom w:val="single" w:sz="4" w:color="AAAAAA"/>
              <w:right w:val="single" w:sz="4" w:color="AAAAAA"/>
            </w:tcBorders>
          </w:tcPr>
          <w:p>
            <w:pPr>
              <w:jc w:val="center"/>
            </w:pPr>
            <w:r>
              <w:rPr>
                <w:sz w:val="18"/>
              </w:rPr>
              <w:t>Coarse mesh</w:t>
            </w:r>
          </w:p>
        </w:tc>
        <w:tc>
          <w:tcPr>
            <w:tcW w:type="dxa" w:w="1337"/>
            <w:shd w:val="clear" w:color="auto" w:fill="EEF4FB"/>
            <w:tcBorders>
              <w:top w:val="single" w:sz="4" w:color="AAAAAA"/>
              <w:left w:val="single" w:sz="4" w:color="AAAAAA"/>
              <w:bottom w:val="single" w:sz="4" w:color="AAAAAA"/>
              <w:right w:val="single" w:sz="4" w:color="AAAAAA"/>
            </w:tcBorders>
          </w:tcPr>
          <w:p>
            <w:pPr>
              <w:jc w:val="center"/>
            </w:pPr>
            <w:r>
              <w:rPr>
                <w:sz w:val="18"/>
              </w:rPr>
              <w:t>68</w:t>
            </w:r>
          </w:p>
        </w:tc>
        <w:tc>
          <w:tcPr>
            <w:tcW w:type="dxa" w:w="1337"/>
            <w:tcBorders>
              <w:top w:val="single" w:sz="4" w:color="AAAAAA"/>
              <w:left w:val="single" w:sz="4" w:color="AAAAAA"/>
              <w:bottom w:val="single" w:sz="4" w:color="AAAAAA"/>
              <w:right w:val="single" w:sz="4" w:color="AAAAAA"/>
            </w:tcBorders>
          </w:tcPr>
          <w:p>
            <w:pPr>
              <w:jc w:val="center"/>
            </w:pPr>
            <w:r>
              <w:rPr>
                <w:sz w:val="18"/>
              </w:rPr>
              <w:t>0.5258</w:t>
            </w:r>
          </w:p>
        </w:tc>
        <w:tc>
          <w:tcPr>
            <w:tcW w:type="dxa" w:w="1337"/>
            <w:shd w:val="clear" w:color="auto" w:fill="EEF4FB"/>
            <w:tcBorders>
              <w:top w:val="single" w:sz="4" w:color="AAAAAA"/>
              <w:left w:val="single" w:sz="4" w:color="AAAAAA"/>
              <w:bottom w:val="single" w:sz="4" w:color="AAAAAA"/>
              <w:right w:val="single" w:sz="4" w:color="AAAAAA"/>
            </w:tcBorders>
          </w:tcPr>
          <w:p>
            <w:pPr>
              <w:jc w:val="center"/>
            </w:pPr>
            <w:r>
              <w:rPr>
                <w:sz w:val="18"/>
              </w:rPr>
              <w:t>0.2054</w:t>
            </w:r>
          </w:p>
        </w:tc>
        <w:tc>
          <w:tcPr>
            <w:tcW w:type="dxa" w:w="1337"/>
            <w:tcBorders>
              <w:top w:val="single" w:sz="4" w:color="AAAAAA"/>
              <w:left w:val="single" w:sz="4" w:color="AAAAAA"/>
              <w:bottom w:val="single" w:sz="4" w:color="AAAAAA"/>
              <w:right w:val="single" w:sz="4" w:color="AAAAAA"/>
            </w:tcBorders>
          </w:tcPr>
          <w:p>
            <w:pPr>
              <w:jc w:val="center"/>
            </w:pPr>
            <w:r>
              <w:rPr>
                <w:sz w:val="18"/>
              </w:rPr>
              <w:t>0.0547</w:t>
            </w:r>
          </w:p>
        </w:tc>
        <w:tc>
          <w:tcPr>
            <w:tcW w:type="dxa" w:w="1337"/>
            <w:shd w:val="clear" w:color="auto" w:fill="EEF4FB"/>
            <w:tcBorders>
              <w:top w:val="single" w:sz="4" w:color="AAAAAA"/>
              <w:left w:val="single" w:sz="4" w:color="AAAAAA"/>
              <w:bottom w:val="single" w:sz="4" w:color="AAAAAA"/>
              <w:right w:val="single" w:sz="4" w:color="AAAAAA"/>
            </w:tcBorders>
          </w:tcPr>
          <w:p>
            <w:pPr>
              <w:jc w:val="center"/>
            </w:pPr>
            <w:r>
              <w:rPr>
                <w:sz w:val="18"/>
              </w:rPr>
              <w:t>0.9496</w:t>
            </w:r>
          </w:p>
        </w:tc>
      </w:tr>
      <w:tr>
        <w:tc>
          <w:tcPr>
            <w:tcW w:type="dxa" w:w="1337"/>
            <w:tcBorders>
              <w:top w:val="single" w:sz="4" w:color="AAAAAA"/>
              <w:left w:val="single" w:sz="4" w:color="AAAAAA"/>
              <w:bottom w:val="single" w:sz="4" w:color="AAAAAA"/>
              <w:right w:val="single" w:sz="4" w:color="AAAAAA"/>
            </w:tcBorders>
          </w:tcPr>
          <w:p>
            <w:pPr>
              <w:jc w:val="center"/>
            </w:pPr>
            <w:r>
              <w:rPr>
                <w:sz w:val="18"/>
              </w:rPr>
              <w:t>Kinzig</w:t>
            </w:r>
          </w:p>
        </w:tc>
        <w:tc>
          <w:tcPr>
            <w:tcW w:type="dxa" w:w="1337"/>
            <w:tcBorders>
              <w:top w:val="single" w:sz="4" w:color="AAAAAA"/>
              <w:left w:val="single" w:sz="4" w:color="AAAAAA"/>
              <w:bottom w:val="single" w:sz="4" w:color="AAAAAA"/>
              <w:right w:val="single" w:sz="4" w:color="AAAAAA"/>
            </w:tcBorders>
          </w:tcPr>
          <w:p>
            <w:pPr>
              <w:jc w:val="center"/>
            </w:pPr>
            <w:r>
              <w:rPr>
                <w:sz w:val="18"/>
              </w:rPr>
              <w:t>Fine mesh</w:t>
            </w:r>
          </w:p>
        </w:tc>
        <w:tc>
          <w:tcPr>
            <w:tcW w:type="dxa" w:w="1337"/>
            <w:tcBorders>
              <w:top w:val="single" w:sz="4" w:color="AAAAAA"/>
              <w:left w:val="single" w:sz="4" w:color="AAAAAA"/>
              <w:bottom w:val="single" w:sz="4" w:color="AAAAAA"/>
              <w:right w:val="single" w:sz="4" w:color="AAAAAA"/>
            </w:tcBorders>
          </w:tcPr>
          <w:p>
            <w:pPr>
              <w:jc w:val="center"/>
            </w:pPr>
            <w:r>
              <w:rPr>
                <w:sz w:val="18"/>
              </w:rPr>
              <w:t>58</w:t>
            </w:r>
          </w:p>
        </w:tc>
        <w:tc>
          <w:tcPr>
            <w:tcW w:type="dxa" w:w="1337"/>
            <w:tcBorders>
              <w:top w:val="single" w:sz="4" w:color="AAAAAA"/>
              <w:left w:val="single" w:sz="4" w:color="AAAAAA"/>
              <w:bottom w:val="single" w:sz="4" w:color="AAAAAA"/>
              <w:right w:val="single" w:sz="4" w:color="AAAAAA"/>
            </w:tcBorders>
          </w:tcPr>
          <w:p>
            <w:pPr>
              <w:jc w:val="center"/>
            </w:pPr>
            <w:r>
              <w:rPr>
                <w:sz w:val="18"/>
              </w:rPr>
              <w:t>0.0996</w:t>
            </w:r>
          </w:p>
        </w:tc>
        <w:tc>
          <w:tcPr>
            <w:tcW w:type="dxa" w:w="1337"/>
            <w:tcBorders>
              <w:top w:val="single" w:sz="4" w:color="AAAAAA"/>
              <w:left w:val="single" w:sz="4" w:color="AAAAAA"/>
              <w:bottom w:val="single" w:sz="4" w:color="AAAAAA"/>
              <w:right w:val="single" w:sz="4" w:color="AAAAAA"/>
            </w:tcBorders>
          </w:tcPr>
          <w:p>
            <w:pPr>
              <w:jc w:val="center"/>
            </w:pPr>
            <w:r>
              <w:rPr>
                <w:sz w:val="18"/>
              </w:rPr>
              <w:t>0.0348</w:t>
            </w:r>
          </w:p>
        </w:tc>
        <w:tc>
          <w:tcPr>
            <w:tcW w:type="dxa" w:w="1337"/>
            <w:tcBorders>
              <w:top w:val="single" w:sz="4" w:color="AAAAAA"/>
              <w:left w:val="single" w:sz="4" w:color="AAAAAA"/>
              <w:bottom w:val="single" w:sz="4" w:color="AAAAAA"/>
              <w:right w:val="single" w:sz="4" w:color="AAAAAA"/>
            </w:tcBorders>
          </w:tcPr>
          <w:p>
            <w:pPr>
              <w:jc w:val="center"/>
            </w:pPr>
            <w:r>
              <w:rPr>
                <w:sz w:val="18"/>
              </w:rPr>
              <w:t>0.0314</w:t>
            </w:r>
          </w:p>
        </w:tc>
        <w:tc>
          <w:tcPr>
            <w:tcW w:type="dxa" w:w="1337"/>
            <w:tcBorders>
              <w:top w:val="single" w:sz="4" w:color="AAAAAA"/>
              <w:left w:val="single" w:sz="4" w:color="AAAAAA"/>
              <w:bottom w:val="single" w:sz="4" w:color="AAAAAA"/>
              <w:right w:val="single" w:sz="4" w:color="AAAAAA"/>
            </w:tcBorders>
          </w:tcPr>
          <w:p>
            <w:pPr>
              <w:jc w:val="center"/>
            </w:pPr>
            <w:r>
              <w:rPr>
                <w:sz w:val="18"/>
              </w:rPr>
              <w:t>0.1973</w:t>
            </w:r>
          </w:p>
        </w:tc>
      </w:tr>
      <w:tr>
        <w:tc>
          <w:tcPr>
            <w:tcW w:type="dxa" w:w="1337"/>
            <w:shd w:val="clear" w:color="auto" w:fill="EEF4FB"/>
            <w:tcBorders>
              <w:top w:val="single" w:sz="4" w:color="AAAAAA"/>
              <w:left w:val="single" w:sz="4" w:color="AAAAAA"/>
              <w:bottom w:val="single" w:sz="4" w:color="AAAAAA"/>
              <w:right w:val="single" w:sz="4" w:color="AAAAAA"/>
            </w:tcBorders>
          </w:tcPr>
          <w:p>
            <w:pPr>
              <w:jc w:val="center"/>
            </w:pPr>
            <w:r>
              <w:rPr>
                <w:sz w:val="18"/>
              </w:rPr>
              <w:t>Kinzig</w:t>
            </w:r>
          </w:p>
        </w:tc>
        <w:tc>
          <w:tcPr>
            <w:tcW w:type="dxa" w:w="1337"/>
            <w:tcBorders>
              <w:top w:val="single" w:sz="4" w:color="AAAAAA"/>
              <w:left w:val="single" w:sz="4" w:color="AAAAAA"/>
              <w:bottom w:val="single" w:sz="4" w:color="AAAAAA"/>
              <w:right w:val="single" w:sz="4" w:color="AAAAAA"/>
            </w:tcBorders>
          </w:tcPr>
          <w:p>
            <w:pPr>
              <w:jc w:val="center"/>
            </w:pPr>
            <w:r>
              <w:rPr>
                <w:sz w:val="18"/>
              </w:rPr>
              <w:t>Coarse mesh</w:t>
            </w:r>
          </w:p>
        </w:tc>
        <w:tc>
          <w:tcPr>
            <w:tcW w:type="dxa" w:w="1337"/>
            <w:shd w:val="clear" w:color="auto" w:fill="EEF4FB"/>
            <w:tcBorders>
              <w:top w:val="single" w:sz="4" w:color="AAAAAA"/>
              <w:left w:val="single" w:sz="4" w:color="AAAAAA"/>
              <w:bottom w:val="single" w:sz="4" w:color="AAAAAA"/>
              <w:right w:val="single" w:sz="4" w:color="AAAAAA"/>
            </w:tcBorders>
          </w:tcPr>
          <w:p>
            <w:pPr>
              <w:jc w:val="center"/>
            </w:pPr>
            <w:r>
              <w:rPr>
                <w:sz w:val="18"/>
              </w:rPr>
              <w:t>53</w:t>
            </w:r>
          </w:p>
        </w:tc>
        <w:tc>
          <w:tcPr>
            <w:tcW w:type="dxa" w:w="1337"/>
            <w:tcBorders>
              <w:top w:val="single" w:sz="4" w:color="AAAAAA"/>
              <w:left w:val="single" w:sz="4" w:color="AAAAAA"/>
              <w:bottom w:val="single" w:sz="4" w:color="AAAAAA"/>
              <w:right w:val="single" w:sz="4" w:color="AAAAAA"/>
            </w:tcBorders>
          </w:tcPr>
          <w:p>
            <w:pPr>
              <w:jc w:val="center"/>
            </w:pPr>
            <w:r>
              <w:rPr>
                <w:sz w:val="18"/>
              </w:rPr>
              <w:t>0.3600</w:t>
            </w:r>
          </w:p>
        </w:tc>
        <w:tc>
          <w:tcPr>
            <w:tcW w:type="dxa" w:w="1337"/>
            <w:shd w:val="clear" w:color="auto" w:fill="EEF4FB"/>
            <w:tcBorders>
              <w:top w:val="single" w:sz="4" w:color="AAAAAA"/>
              <w:left w:val="single" w:sz="4" w:color="AAAAAA"/>
              <w:bottom w:val="single" w:sz="4" w:color="AAAAAA"/>
              <w:right w:val="single" w:sz="4" w:color="AAAAAA"/>
            </w:tcBorders>
          </w:tcPr>
          <w:p>
            <w:pPr>
              <w:jc w:val="center"/>
            </w:pPr>
            <w:r>
              <w:rPr>
                <w:sz w:val="18"/>
              </w:rPr>
              <w:t>0.1354</w:t>
            </w:r>
          </w:p>
        </w:tc>
        <w:tc>
          <w:tcPr>
            <w:tcW w:type="dxa" w:w="1337"/>
            <w:tcBorders>
              <w:top w:val="single" w:sz="4" w:color="AAAAAA"/>
              <w:left w:val="single" w:sz="4" w:color="AAAAAA"/>
              <w:bottom w:val="single" w:sz="4" w:color="AAAAAA"/>
              <w:right w:val="single" w:sz="4" w:color="AAAAAA"/>
            </w:tcBorders>
          </w:tcPr>
          <w:p>
            <w:pPr>
              <w:jc w:val="center"/>
            </w:pPr>
            <w:r>
              <w:rPr>
                <w:sz w:val="18"/>
              </w:rPr>
              <w:t>0.1375</w:t>
            </w:r>
          </w:p>
        </w:tc>
        <w:tc>
          <w:tcPr>
            <w:tcW w:type="dxa" w:w="1337"/>
            <w:shd w:val="clear" w:color="auto" w:fill="EEF4FB"/>
            <w:tcBorders>
              <w:top w:val="single" w:sz="4" w:color="AAAAAA"/>
              <w:left w:val="single" w:sz="4" w:color="AAAAAA"/>
              <w:bottom w:val="single" w:sz="4" w:color="AAAAAA"/>
              <w:right w:val="single" w:sz="4" w:color="AAAAAA"/>
            </w:tcBorders>
          </w:tcPr>
          <w:p>
            <w:pPr>
              <w:jc w:val="center"/>
            </w:pPr>
            <w:r>
              <w:rPr>
                <w:sz w:val="18"/>
              </w:rPr>
              <w:t>0.6667</w:t>
            </w:r>
          </w:p>
        </w:tc>
      </w:tr>
    </w:tbl>
    <w:p/>
    <w:p>
      <w:pPr>
        <w:jc w:val="center"/>
      </w:pPr>
      <w:r>
        <w:rPr>
          <w:i/>
          <w:sz w:val="18"/>
        </w:rPr>
        <w:t>Table 2. DSM summary statistics by stream and bag type. DSM units = % mass loss per degree-day.</w:t>
      </w:r>
    </w:p>
    <w:p/>
    <w:p>
      <w:pPr>
        <w:jc w:val="center"/>
      </w:pPr>
      <w:r>
        <w:drawing>
          <wp:inline xmlns:a="http://schemas.openxmlformats.org/drawingml/2006/main" xmlns:pic="http://schemas.openxmlformats.org/drawingml/2006/picture">
            <wp:extent cx="4572000" cy="3013753"/>
            <wp:docPr id="1" name="Picture 1"/>
            <wp:cNvGraphicFramePr>
              <a:graphicFrameLocks noChangeAspect="1"/>
            </wp:cNvGraphicFramePr>
            <a:graphic>
              <a:graphicData uri="http://schemas.openxmlformats.org/drawingml/2006/picture">
                <pic:pic>
                  <pic:nvPicPr>
                    <pic:cNvPr id="0" name="Fig14_Overall_DSM_Summary.png"/>
                    <pic:cNvPicPr/>
                  </pic:nvPicPr>
                  <pic:blipFill>
                    <a:blip r:embed="rId9"/>
                    <a:stretch>
                      <a:fillRect/>
                    </a:stretch>
                  </pic:blipFill>
                  <pic:spPr>
                    <a:xfrm>
                      <a:off x="0" y="0"/>
                      <a:ext cx="4572000" cy="3013753"/>
                    </a:xfrm>
                    <a:prstGeom prst="rect"/>
                  </pic:spPr>
                </pic:pic>
              </a:graphicData>
            </a:graphic>
          </wp:inline>
        </w:drawing>
      </w:r>
    </w:p>
    <w:p>
      <w:pPr>
        <w:jc w:val="center"/>
      </w:pPr>
      <w:r>
        <w:rPr>
          <w:i/>
          <w:color w:val="444444"/>
          <w:sz w:val="18"/>
        </w:rPr>
        <w:t>Figure 1. Mean DSM (± SD) by stream and bag type. Boye exhibits consistently higher DSM values in both mesh types.</w:t>
      </w:r>
    </w:p>
    <w:p/>
    <w:p>
      <w:pPr>
        <w:jc w:val="center"/>
      </w:pPr>
      <w:r>
        <w:drawing>
          <wp:inline xmlns:a="http://schemas.openxmlformats.org/drawingml/2006/main" xmlns:pic="http://schemas.openxmlformats.org/drawingml/2006/picture">
            <wp:extent cx="5029200" cy="2503324"/>
            <wp:docPr id="2" name="Picture 2"/>
            <wp:cNvGraphicFramePr>
              <a:graphicFrameLocks noChangeAspect="1"/>
            </wp:cNvGraphicFramePr>
            <a:graphic>
              <a:graphicData uri="http://schemas.openxmlformats.org/drawingml/2006/picture">
                <pic:pic>
                  <pic:nvPicPr>
                    <pic:cNvPr id="0" name="Fig1_DSM_Comparison_FineVsCoarse.png"/>
                    <pic:cNvPicPr/>
                  </pic:nvPicPr>
                  <pic:blipFill>
                    <a:blip r:embed="rId10"/>
                    <a:stretch>
                      <a:fillRect/>
                    </a:stretch>
                  </pic:blipFill>
                  <pic:spPr>
                    <a:xfrm>
                      <a:off x="0" y="0"/>
                      <a:ext cx="5029200" cy="2503324"/>
                    </a:xfrm>
                    <a:prstGeom prst="rect"/>
                  </pic:spPr>
                </pic:pic>
              </a:graphicData>
            </a:graphic>
          </wp:inline>
        </w:drawing>
      </w:r>
    </w:p>
    <w:p>
      <w:pPr>
        <w:jc w:val="center"/>
      </w:pPr>
      <w:r>
        <w:rPr>
          <w:i/>
          <w:color w:val="444444"/>
          <w:sz w:val="18"/>
        </w:rPr>
        <w:t>Figure 2. Boxplot of individual bag DSM values. Coarse mesh rates significantly exceed fine mesh in both streams (p &lt; 0.001).</w:t>
      </w:r>
    </w:p>
    <w:p>
      <w:r>
        <w:br w:type="page"/>
      </w:r>
    </w:p>
    <w:p>
      <w:pPr>
        <w:pStyle w:val="Heading2"/>
      </w:pPr>
      <w:r>
        <w:rPr>
          <w:rFonts w:ascii="Arial" w:hAnsi="Arial"/>
          <w:color w:val="2E75B6"/>
        </w:rPr>
        <w:t>4.2 Site-Level Variation</w:t>
      </w:r>
    </w:p>
    <w:p>
      <w:r>
        <w:rPr>
          <w:rFonts w:ascii="Arial" w:hAnsi="Arial"/>
          <w:b w:val="0"/>
          <w:i w:val="0"/>
          <w:sz w:val="22"/>
        </w:rPr>
        <w:t>Site-level DSM values showed substantial spatial variation within both catchments, reflecting differences in land use intensity, water chemistry, and physical habitat.</w:t>
      </w:r>
    </w:p>
    <w:p/>
    <w:p>
      <w:pPr>
        <w:jc w:val="center"/>
      </w:pPr>
      <w:r>
        <w:drawing>
          <wp:inline xmlns:a="http://schemas.openxmlformats.org/drawingml/2006/main" xmlns:pic="http://schemas.openxmlformats.org/drawingml/2006/picture">
            <wp:extent cx="5029200" cy="3561243"/>
            <wp:docPr id="3" name="Picture 3"/>
            <wp:cNvGraphicFramePr>
              <a:graphicFrameLocks noChangeAspect="1"/>
            </wp:cNvGraphicFramePr>
            <a:graphic>
              <a:graphicData uri="http://schemas.openxmlformats.org/drawingml/2006/picture">
                <pic:pic>
                  <pic:nvPicPr>
                    <pic:cNvPr id="0" name="Fig2_DSM_Boye_PerSite.png"/>
                    <pic:cNvPicPr/>
                  </pic:nvPicPr>
                  <pic:blipFill>
                    <a:blip r:embed="rId11"/>
                    <a:stretch>
                      <a:fillRect/>
                    </a:stretch>
                  </pic:blipFill>
                  <pic:spPr>
                    <a:xfrm>
                      <a:off x="0" y="0"/>
                      <a:ext cx="5029200" cy="3561243"/>
                    </a:xfrm>
                    <a:prstGeom prst="rect"/>
                  </pic:spPr>
                </pic:pic>
              </a:graphicData>
            </a:graphic>
          </wp:inline>
        </w:drawing>
      </w:r>
    </w:p>
    <w:p>
      <w:pPr>
        <w:jc w:val="center"/>
      </w:pPr>
      <w:r>
        <w:rPr>
          <w:i/>
          <w:color w:val="444444"/>
          <w:sz w:val="18"/>
        </w:rPr>
        <w:t>Figure 3. Mean DSM per site — Boye Stream. Error bars = ± 1 SD.</w:t>
      </w:r>
    </w:p>
    <w:p/>
    <w:p>
      <w:pPr>
        <w:jc w:val="center"/>
      </w:pPr>
      <w:r>
        <w:drawing>
          <wp:inline xmlns:a="http://schemas.openxmlformats.org/drawingml/2006/main" xmlns:pic="http://schemas.openxmlformats.org/drawingml/2006/picture">
            <wp:extent cx="5029200" cy="3557827"/>
            <wp:docPr id="4" name="Picture 4"/>
            <wp:cNvGraphicFramePr>
              <a:graphicFrameLocks noChangeAspect="1"/>
            </wp:cNvGraphicFramePr>
            <a:graphic>
              <a:graphicData uri="http://schemas.openxmlformats.org/drawingml/2006/picture">
                <pic:pic>
                  <pic:nvPicPr>
                    <pic:cNvPr id="0" name="Fig3_DSM_Kinzig_PerSite.png"/>
                    <pic:cNvPicPr/>
                  </pic:nvPicPr>
                  <pic:blipFill>
                    <a:blip r:embed="rId12"/>
                    <a:stretch>
                      <a:fillRect/>
                    </a:stretch>
                  </pic:blipFill>
                  <pic:spPr>
                    <a:xfrm>
                      <a:off x="0" y="0"/>
                      <a:ext cx="5029200" cy="3557827"/>
                    </a:xfrm>
                    <a:prstGeom prst="rect"/>
                  </pic:spPr>
                </pic:pic>
              </a:graphicData>
            </a:graphic>
          </wp:inline>
        </w:drawing>
      </w:r>
    </w:p>
    <w:p>
      <w:pPr>
        <w:jc w:val="center"/>
      </w:pPr>
      <w:r>
        <w:rPr>
          <w:i/>
          <w:color w:val="444444"/>
          <w:sz w:val="18"/>
        </w:rPr>
        <w:t>Figure 4. Mean DSM per site — Kinzig Stream.</w:t>
      </w:r>
    </w:p>
    <w:p>
      <w:r>
        <w:br w:type="page"/>
      </w:r>
    </w:p>
    <w:p>
      <w:pPr>
        <w:pStyle w:val="Heading2"/>
      </w:pPr>
      <w:r>
        <w:rPr>
          <w:rFonts w:ascii="Arial" w:hAnsi="Arial"/>
          <w:color w:val="2E75B6"/>
        </w:rPr>
        <w:t>4.3 Hypothesis Testing — Boye Stream</w:t>
      </w:r>
    </w:p>
    <w:p>
      <w:r>
        <w:rPr>
          <w:rFonts w:ascii="Arial" w:hAnsi="Arial"/>
          <w:b w:val="0"/>
          <w:i w:val="0"/>
          <w:sz w:val="22"/>
        </w:rPr>
        <w:t>Boye is characterised by high conductivity (854.8 µS/cm), elevated metal contamination, and predominantly urban land use (41.5 % mean).</w:t>
      </w:r>
    </w:p>
    <w:p>
      <w:pPr>
        <w:pStyle w:val="Heading3"/>
      </w:pPr>
      <w:r>
        <w:rPr>
          <w:rFonts w:ascii="Arial" w:hAnsi="Arial"/>
          <w:color w:val="375623"/>
        </w:rPr>
        <w:t>H1: Higher conductivity negatively associated with fine mesh DSM</w:t>
      </w:r>
    </w:p>
    <w:p>
      <w:pPr>
        <w:spacing w:before="120" w:after="120"/>
      </w:pPr>
      <w:r>
        <w:rPr>
          <w:rFonts w:ascii="Arial" w:hAnsi="Arial"/>
          <w:b/>
          <w:i w:val="0"/>
          <w:color w:val="375623"/>
          <w:sz w:val="22"/>
        </w:rPr>
        <w:t xml:space="preserve">Result: SUPPORTED (r = −0.459, p = 0.028). </w:t>
      </w:r>
      <w:r>
        <w:rPr>
          <w:rFonts w:ascii="Arial" w:hAnsi="Arial"/>
          <w:b w:val="0"/>
          <w:i w:val="0"/>
          <w:sz w:val="22"/>
        </w:rPr>
        <w:t>A significant negative correlation was found between conductivity and fine mesh DSM. The ionic load in the urbanised Boye catchment partially suppresses microbial leaf decomposition activity. No significant relationship was found for coarse mesh (r = −0.267, p = 0.243), suggesting macrofaunal shredders are less sensitive to ionic stress in this range.</w:t>
      </w:r>
    </w:p>
    <w:p>
      <w:pPr>
        <w:jc w:val="center"/>
      </w:pPr>
      <w:r>
        <w:drawing>
          <wp:inline xmlns:a="http://schemas.openxmlformats.org/drawingml/2006/main" xmlns:pic="http://schemas.openxmlformats.org/drawingml/2006/picture">
            <wp:extent cx="5029200" cy="2086103"/>
            <wp:docPr id="5" name="Picture 5"/>
            <wp:cNvGraphicFramePr>
              <a:graphicFrameLocks noChangeAspect="1"/>
            </wp:cNvGraphicFramePr>
            <a:graphic>
              <a:graphicData uri="http://schemas.openxmlformats.org/drawingml/2006/picture">
                <pic:pic>
                  <pic:nvPicPr>
                    <pic:cNvPr id="0" name="Fig4_Boye_H1_Conductivity_vs_DSM.png"/>
                    <pic:cNvPicPr/>
                  </pic:nvPicPr>
                  <pic:blipFill>
                    <a:blip r:embed="rId13"/>
                    <a:stretch>
                      <a:fillRect/>
                    </a:stretch>
                  </pic:blipFill>
                  <pic:spPr>
                    <a:xfrm>
                      <a:off x="0" y="0"/>
                      <a:ext cx="5029200" cy="2086103"/>
                    </a:xfrm>
                    <a:prstGeom prst="rect"/>
                  </pic:spPr>
                </pic:pic>
              </a:graphicData>
            </a:graphic>
          </wp:inline>
        </w:drawing>
      </w:r>
    </w:p>
    <w:p>
      <w:pPr>
        <w:jc w:val="center"/>
      </w:pPr>
      <w:r>
        <w:rPr>
          <w:i/>
          <w:color w:val="444444"/>
          <w:sz w:val="18"/>
        </w:rPr>
        <w:t>Figure 5. Conductivity vs fine and coarse mesh DSM — Boye Stream. Significant negative trend for fine mesh only.</w:t>
      </w:r>
    </w:p>
    <w:p/>
    <w:p>
      <w:pPr>
        <w:pStyle w:val="Heading3"/>
      </w:pPr>
      <w:r>
        <w:rPr>
          <w:rFonts w:ascii="Arial" w:hAnsi="Arial"/>
          <w:color w:val="375623"/>
        </w:rPr>
        <w:t>H2: Higher urban land use reduces leaf decomposition rates</w:t>
      </w:r>
    </w:p>
    <w:p>
      <w:pPr>
        <w:spacing w:before="120" w:after="120"/>
      </w:pPr>
      <w:r>
        <w:rPr>
          <w:rFonts w:ascii="Arial" w:hAnsi="Arial"/>
          <w:b/>
          <w:i w:val="0"/>
          <w:color w:val="990000"/>
          <w:sz w:val="22"/>
        </w:rPr>
        <w:t xml:space="preserve">Result: NOT SUPPORTED (r = −0.265, p = 0.247). </w:t>
      </w:r>
      <w:r>
        <w:rPr>
          <w:rFonts w:ascii="Arial" w:hAnsi="Arial"/>
          <w:b w:val="0"/>
          <w:i w:val="0"/>
          <w:sz w:val="22"/>
        </w:rPr>
        <w:t>Urban land use percentage was not significantly correlated with fine or coarse mesh DSM. High variability in urban percentage and limited site-level variation may have reduced statistical power. The negative directional trend is consistent with the hypothesis, however.</w:t>
      </w:r>
    </w:p>
    <w:p>
      <w:pPr>
        <w:jc w:val="center"/>
      </w:pPr>
      <w:r>
        <w:drawing>
          <wp:inline xmlns:a="http://schemas.openxmlformats.org/drawingml/2006/main" xmlns:pic="http://schemas.openxmlformats.org/drawingml/2006/picture">
            <wp:extent cx="5029200" cy="2090791"/>
            <wp:docPr id="6" name="Picture 6"/>
            <wp:cNvGraphicFramePr>
              <a:graphicFrameLocks noChangeAspect="1"/>
            </wp:cNvGraphicFramePr>
            <a:graphic>
              <a:graphicData uri="http://schemas.openxmlformats.org/drawingml/2006/picture">
                <pic:pic>
                  <pic:nvPicPr>
                    <pic:cNvPr id="0" name="Fig5_Boye_H2_UrbanLanduse_vs_DSM.png"/>
                    <pic:cNvPicPr/>
                  </pic:nvPicPr>
                  <pic:blipFill>
                    <a:blip r:embed="rId14"/>
                    <a:stretch>
                      <a:fillRect/>
                    </a:stretch>
                  </pic:blipFill>
                  <pic:spPr>
                    <a:xfrm>
                      <a:off x="0" y="0"/>
                      <a:ext cx="5029200" cy="2090791"/>
                    </a:xfrm>
                    <a:prstGeom prst="rect"/>
                  </pic:spPr>
                </pic:pic>
              </a:graphicData>
            </a:graphic>
          </wp:inline>
        </w:drawing>
      </w:r>
    </w:p>
    <w:p>
      <w:pPr>
        <w:jc w:val="center"/>
      </w:pPr>
      <w:r>
        <w:rPr>
          <w:i/>
          <w:color w:val="444444"/>
          <w:sz w:val="18"/>
        </w:rPr>
        <w:t>Figure 6. Urban land use (%) vs fine and coarse mesh DSM — Boye Stream.</w:t>
      </w:r>
    </w:p>
    <w:p/>
    <w:p>
      <w:pPr>
        <w:pStyle w:val="Heading3"/>
      </w:pPr>
      <w:r>
        <w:rPr>
          <w:rFonts w:ascii="Arial" w:hAnsi="Arial"/>
          <w:color w:val="375623"/>
        </w:rPr>
        <w:t>H3: Gammarus shredders drive higher coarse mesh DSM</w:t>
      </w:r>
    </w:p>
    <w:p>
      <w:pPr>
        <w:spacing w:before="120" w:after="120"/>
      </w:pPr>
      <w:r>
        <w:rPr>
          <w:rFonts w:ascii="Arial" w:hAnsi="Arial"/>
          <w:b/>
          <w:i w:val="0"/>
          <w:color w:val="D46700"/>
          <w:sz w:val="22"/>
        </w:rPr>
        <w:t xml:space="preserve">Result: PARTIALLY SUPPORTED. </w:t>
      </w:r>
      <w:r>
        <w:rPr>
          <w:rFonts w:ascii="Arial" w:hAnsi="Arial"/>
          <w:b w:val="0"/>
          <w:i w:val="0"/>
          <w:sz w:val="22"/>
        </w:rPr>
        <w:t xml:space="preserve">While log-Gammarus vs coarse DSM correlation was not significant across sites (r = 0.075, p = 0.744), coarse mesh DSM was </w:t>
      </w:r>
      <w:r>
        <w:rPr>
          <w:rFonts w:ascii="Arial" w:hAnsi="Arial"/>
          <w:b/>
          <w:i w:val="0"/>
          <w:sz w:val="22"/>
        </w:rPr>
        <w:t>3.04× higher than fine mesh</w:t>
      </w:r>
      <w:r>
        <w:rPr>
          <w:rFonts w:ascii="Arial" w:hAnsi="Arial"/>
          <w:b w:val="0"/>
          <w:i w:val="0"/>
          <w:sz w:val="22"/>
        </w:rPr>
        <w:t xml:space="preserve"> (t = 13.95, p &lt; 0.001), confirming substantial shredder-driven decomposition. Site-level variation in Gammarus abundance did not predict within-stream differences in this snapshot.</w:t>
      </w:r>
    </w:p>
    <w:p>
      <w:pPr>
        <w:jc w:val="center"/>
      </w:pPr>
      <w:r>
        <w:drawing>
          <wp:inline xmlns:a="http://schemas.openxmlformats.org/drawingml/2006/main" xmlns:pic="http://schemas.openxmlformats.org/drawingml/2006/picture">
            <wp:extent cx="4114800" cy="3062661"/>
            <wp:docPr id="7" name="Picture 7"/>
            <wp:cNvGraphicFramePr>
              <a:graphicFrameLocks noChangeAspect="1"/>
            </wp:cNvGraphicFramePr>
            <a:graphic>
              <a:graphicData uri="http://schemas.openxmlformats.org/drawingml/2006/picture">
                <pic:pic>
                  <pic:nvPicPr>
                    <pic:cNvPr id="0" name="Fig6_Boye_H3_Gammarus_vs_CoarseDSM.png"/>
                    <pic:cNvPicPr/>
                  </pic:nvPicPr>
                  <pic:blipFill>
                    <a:blip r:embed="rId15"/>
                    <a:stretch>
                      <a:fillRect/>
                    </a:stretch>
                  </pic:blipFill>
                  <pic:spPr>
                    <a:xfrm>
                      <a:off x="0" y="0"/>
                      <a:ext cx="4114800" cy="3062661"/>
                    </a:xfrm>
                    <a:prstGeom prst="rect"/>
                  </pic:spPr>
                </pic:pic>
              </a:graphicData>
            </a:graphic>
          </wp:inline>
        </w:drawing>
      </w:r>
    </w:p>
    <w:p>
      <w:pPr>
        <w:jc w:val="center"/>
      </w:pPr>
      <w:r>
        <w:rPr>
          <w:i/>
          <w:color w:val="444444"/>
          <w:sz w:val="18"/>
        </w:rPr>
        <w:t>Figure 7. Log-Gammarus abundance vs coarse mesh DSM — Boye Stream.</w:t>
      </w:r>
    </w:p>
    <w:p/>
    <w:p>
      <w:pPr>
        <w:pStyle w:val="Heading3"/>
      </w:pPr>
      <w:r>
        <w:rPr>
          <w:rFonts w:ascii="Arial" w:hAnsi="Arial"/>
          <w:color w:val="375623"/>
        </w:rPr>
        <w:t>H4: Higher Zn and Cu concentrations reduce fine mesh DSM</w:t>
      </w:r>
    </w:p>
    <w:p>
      <w:pPr>
        <w:spacing w:before="120" w:after="120"/>
      </w:pPr>
      <w:r>
        <w:rPr>
          <w:rFonts w:ascii="Arial" w:hAnsi="Arial"/>
          <w:b/>
          <w:i w:val="0"/>
          <w:color w:val="990000"/>
          <w:sz w:val="22"/>
        </w:rPr>
        <w:t xml:space="preserve">Result: NOT SUPPORTED (Zn: r = −0.025, p = 0.919; Cu: r = −0.298, p = 0.175). </w:t>
      </w:r>
      <w:r>
        <w:rPr>
          <w:rFonts w:ascii="Arial" w:hAnsi="Arial"/>
          <w:b w:val="0"/>
          <w:i w:val="0"/>
          <w:sz w:val="22"/>
        </w:rPr>
        <w:t>Metal concentrations in the Boye were low (mean Zn: 2.82 µg/L; mean Cu: 0.18 µg/L), likely below the functional toxicity thresholds for microbial decomposers, explaining the lack of a significant relationship.</w:t>
      </w:r>
    </w:p>
    <w:p>
      <w:pPr>
        <w:jc w:val="center"/>
      </w:pPr>
      <w:r>
        <w:drawing>
          <wp:inline xmlns:a="http://schemas.openxmlformats.org/drawingml/2006/main" xmlns:pic="http://schemas.openxmlformats.org/drawingml/2006/picture">
            <wp:extent cx="5029200" cy="2086103"/>
            <wp:docPr id="8" name="Picture 8"/>
            <wp:cNvGraphicFramePr>
              <a:graphicFrameLocks noChangeAspect="1"/>
            </wp:cNvGraphicFramePr>
            <a:graphic>
              <a:graphicData uri="http://schemas.openxmlformats.org/drawingml/2006/picture">
                <pic:pic>
                  <pic:nvPicPr>
                    <pic:cNvPr id="0" name="Fig7_Boye_H4_Metals_vs_FineDSM.png"/>
                    <pic:cNvPicPr/>
                  </pic:nvPicPr>
                  <pic:blipFill>
                    <a:blip r:embed="rId16"/>
                    <a:stretch>
                      <a:fillRect/>
                    </a:stretch>
                  </pic:blipFill>
                  <pic:spPr>
                    <a:xfrm>
                      <a:off x="0" y="0"/>
                      <a:ext cx="5029200" cy="2086103"/>
                    </a:xfrm>
                    <a:prstGeom prst="rect"/>
                  </pic:spPr>
                </pic:pic>
              </a:graphicData>
            </a:graphic>
          </wp:inline>
        </w:drawing>
      </w:r>
    </w:p>
    <w:p>
      <w:pPr>
        <w:jc w:val="center"/>
      </w:pPr>
      <w:r>
        <w:rPr>
          <w:i/>
          <w:color w:val="444444"/>
          <w:sz w:val="18"/>
        </w:rPr>
        <w:t>Figure 8. Zn and Cu concentration vs fine mesh DSM — Boye Stream.</w:t>
      </w:r>
    </w:p>
    <w:p>
      <w:r>
        <w:br w:type="page"/>
      </w:r>
    </w:p>
    <w:p>
      <w:pPr>
        <w:pStyle w:val="Heading2"/>
      </w:pPr>
      <w:r>
        <w:rPr>
          <w:rFonts w:ascii="Arial" w:hAnsi="Arial"/>
          <w:color w:val="2E75B6"/>
        </w:rPr>
        <w:t>4.4 Hypothesis Testing — Kinzig Stream</w:t>
      </w:r>
    </w:p>
    <w:p>
      <w:r>
        <w:rPr>
          <w:rFonts w:ascii="Arial" w:hAnsi="Arial"/>
          <w:b w:val="0"/>
          <w:i w:val="0"/>
          <w:sz w:val="22"/>
        </w:rPr>
        <w:t>Kinzig is predominantly agricultural (52.1 % catchment area) with lower conductivity (330.7 µS/cm mean) and lower metal concentrations than Boye.</w:t>
      </w:r>
    </w:p>
    <w:p>
      <w:pPr>
        <w:pStyle w:val="Heading3"/>
      </w:pPr>
      <w:r>
        <w:rPr>
          <w:rFonts w:ascii="Arial" w:hAnsi="Arial"/>
          <w:color w:val="375623"/>
        </w:rPr>
        <w:t>H1: Higher nitrate concentrations positively associated with fine mesh DSM</w:t>
      </w:r>
    </w:p>
    <w:p>
      <w:pPr>
        <w:spacing w:before="120" w:after="120"/>
      </w:pPr>
      <w:r>
        <w:rPr>
          <w:rFonts w:ascii="Arial" w:hAnsi="Arial"/>
          <w:b/>
          <w:i w:val="0"/>
          <w:color w:val="990000"/>
          <w:sz w:val="22"/>
        </w:rPr>
        <w:t xml:space="preserve">Result: NOT SUPPORTED (r = +0.344, p = 0.120). </w:t>
      </w:r>
      <w:r>
        <w:rPr>
          <w:rFonts w:ascii="Arial" w:hAnsi="Arial"/>
          <w:b w:val="0"/>
          <w:i w:val="0"/>
          <w:sz w:val="22"/>
        </w:rPr>
        <w:t>A positive trend was observed but did not reach significance. The limited range of nitrate concentrations within Kinzig (3.3–13.4 mg/L) may explain the weak effect. Total nitrogen showed a similar non-significant trend (r = 0.342, p = 0.123).</w:t>
      </w:r>
    </w:p>
    <w:p>
      <w:pPr>
        <w:jc w:val="center"/>
      </w:pPr>
      <w:r>
        <w:drawing>
          <wp:inline xmlns:a="http://schemas.openxmlformats.org/drawingml/2006/main" xmlns:pic="http://schemas.openxmlformats.org/drawingml/2006/picture">
            <wp:extent cx="4114800" cy="3068723"/>
            <wp:docPr id="9" name="Picture 9"/>
            <wp:cNvGraphicFramePr>
              <a:graphicFrameLocks noChangeAspect="1"/>
            </wp:cNvGraphicFramePr>
            <a:graphic>
              <a:graphicData uri="http://schemas.openxmlformats.org/drawingml/2006/picture">
                <pic:pic>
                  <pic:nvPicPr>
                    <pic:cNvPr id="0" name="Fig8_Kinzig_H1_Nitrate_vs_FineDSM.png"/>
                    <pic:cNvPicPr/>
                  </pic:nvPicPr>
                  <pic:blipFill>
                    <a:blip r:embed="rId17"/>
                    <a:stretch>
                      <a:fillRect/>
                    </a:stretch>
                  </pic:blipFill>
                  <pic:spPr>
                    <a:xfrm>
                      <a:off x="0" y="0"/>
                      <a:ext cx="4114800" cy="3068723"/>
                    </a:xfrm>
                    <a:prstGeom prst="rect"/>
                  </pic:spPr>
                </pic:pic>
              </a:graphicData>
            </a:graphic>
          </wp:inline>
        </w:drawing>
      </w:r>
    </w:p>
    <w:p>
      <w:pPr>
        <w:jc w:val="center"/>
      </w:pPr>
      <w:r>
        <w:rPr>
          <w:i/>
          <w:color w:val="444444"/>
          <w:sz w:val="18"/>
        </w:rPr>
        <w:t>Figure 9. Nitrate vs fine mesh DSM — Kinzig Stream.</w:t>
      </w:r>
    </w:p>
    <w:p/>
    <w:p>
      <w:pPr>
        <w:pStyle w:val="Heading3"/>
      </w:pPr>
      <w:r>
        <w:rPr>
          <w:rFonts w:ascii="Arial" w:hAnsi="Arial"/>
          <w:color w:val="375623"/>
        </w:rPr>
        <w:t>H2: Higher agricultural land use positively associated with DSM</w:t>
      </w:r>
    </w:p>
    <w:p>
      <w:pPr>
        <w:spacing w:before="120" w:after="120"/>
      </w:pPr>
      <w:r>
        <w:rPr>
          <w:rFonts w:ascii="Arial" w:hAnsi="Arial"/>
          <w:b/>
          <w:i w:val="0"/>
          <w:color w:val="375623"/>
          <w:sz w:val="22"/>
        </w:rPr>
        <w:t xml:space="preserve">Result: STRONGLY SUPPORTED (r = +0.738, p = 0.0002). </w:t>
      </w:r>
      <w:r>
        <w:rPr>
          <w:rFonts w:ascii="Arial" w:hAnsi="Arial"/>
          <w:b w:val="0"/>
          <w:i w:val="0"/>
          <w:sz w:val="22"/>
        </w:rPr>
        <w:t>Agricultural land use was the strongest predictor found in this study. Sites with higher agricultural catchment proportions showed markedly higher microbial DSM, reflecting elevated nutrient loading (N, P) stimulating fungal and bacterial activity. Coarse mesh was not significantly related (r = −0.359, p = 0.112).</w:t>
      </w:r>
    </w:p>
    <w:p>
      <w:pPr>
        <w:jc w:val="center"/>
      </w:pPr>
      <w:r>
        <w:drawing>
          <wp:inline xmlns:a="http://schemas.openxmlformats.org/drawingml/2006/main" xmlns:pic="http://schemas.openxmlformats.org/drawingml/2006/picture">
            <wp:extent cx="5029200" cy="2086103"/>
            <wp:docPr id="10" name="Picture 10"/>
            <wp:cNvGraphicFramePr>
              <a:graphicFrameLocks noChangeAspect="1"/>
            </wp:cNvGraphicFramePr>
            <a:graphic>
              <a:graphicData uri="http://schemas.openxmlformats.org/drawingml/2006/picture">
                <pic:pic>
                  <pic:nvPicPr>
                    <pic:cNvPr id="0" name="Fig9_Kinzig_H2_AgriLanduse_vs_DSM.png"/>
                    <pic:cNvPicPr/>
                  </pic:nvPicPr>
                  <pic:blipFill>
                    <a:blip r:embed="rId18"/>
                    <a:stretch>
                      <a:fillRect/>
                    </a:stretch>
                  </pic:blipFill>
                  <pic:spPr>
                    <a:xfrm>
                      <a:off x="0" y="0"/>
                      <a:ext cx="5029200" cy="2086103"/>
                    </a:xfrm>
                    <a:prstGeom prst="rect"/>
                  </pic:spPr>
                </pic:pic>
              </a:graphicData>
            </a:graphic>
          </wp:inline>
        </w:drawing>
      </w:r>
    </w:p>
    <w:p>
      <w:pPr>
        <w:jc w:val="center"/>
      </w:pPr>
      <w:r>
        <w:rPr>
          <w:i/>
          <w:color w:val="444444"/>
          <w:sz w:val="18"/>
        </w:rPr>
        <w:t>Figure 10. Agricultural land use (%) vs DSM — Kinzig Stream. Strong positive relationship for fine mesh (p = 0.0002).</w:t>
      </w:r>
    </w:p>
    <w:p/>
    <w:p>
      <w:pPr>
        <w:pStyle w:val="Heading3"/>
      </w:pPr>
      <w:r>
        <w:rPr>
          <w:rFonts w:ascii="Arial" w:hAnsi="Arial"/>
          <w:color w:val="375623"/>
        </w:rPr>
        <w:t>H3: Coarse mesh DSM significantly higher than fine mesh (shredder effect)</w:t>
      </w:r>
    </w:p>
    <w:p>
      <w:pPr>
        <w:spacing w:before="120" w:after="120"/>
      </w:pPr>
      <w:r>
        <w:rPr>
          <w:rFonts w:ascii="Arial" w:hAnsi="Arial"/>
          <w:b/>
          <w:i w:val="0"/>
          <w:color w:val="375623"/>
          <w:sz w:val="22"/>
        </w:rPr>
        <w:t xml:space="preserve">Result: STRONGLY SUPPORTED (t = 13.60, p &lt; 0.001). </w:t>
      </w:r>
      <w:r>
        <w:rPr>
          <w:rFonts w:ascii="Arial" w:hAnsi="Arial"/>
          <w:b w:val="0"/>
          <w:i w:val="0"/>
          <w:sz w:val="22"/>
        </w:rPr>
        <w:t>Coarse mesh DSM was 3.62× higher than fine mesh (0.360 vs 0.100 %/DD). Invertebrate shredders play a critical role in accelerating organic matter breakdown in this stream. The Kinzig showed greater variability in the coarse-to-fine ratio than Boye, suggesting site-specific differences in shredder communities.</w:t>
      </w:r>
    </w:p>
    <w:p>
      <w:pPr>
        <w:jc w:val="center"/>
      </w:pPr>
      <w:r>
        <w:drawing>
          <wp:inline xmlns:a="http://schemas.openxmlformats.org/drawingml/2006/main" xmlns:pic="http://schemas.openxmlformats.org/drawingml/2006/picture">
            <wp:extent cx="5029200" cy="2990427"/>
            <wp:docPr id="11" name="Picture 11"/>
            <wp:cNvGraphicFramePr>
              <a:graphicFrameLocks noChangeAspect="1"/>
            </wp:cNvGraphicFramePr>
            <a:graphic>
              <a:graphicData uri="http://schemas.openxmlformats.org/drawingml/2006/picture">
                <pic:pic>
                  <pic:nvPicPr>
                    <pic:cNvPr id="0" name="Fig10_Kinzig_H3_FineVsCoarse_bysite.png"/>
                    <pic:cNvPicPr/>
                  </pic:nvPicPr>
                  <pic:blipFill>
                    <a:blip r:embed="rId19"/>
                    <a:stretch>
                      <a:fillRect/>
                    </a:stretch>
                  </pic:blipFill>
                  <pic:spPr>
                    <a:xfrm>
                      <a:off x="0" y="0"/>
                      <a:ext cx="5029200" cy="2990427"/>
                    </a:xfrm>
                    <a:prstGeom prst="rect"/>
                  </pic:spPr>
                </pic:pic>
              </a:graphicData>
            </a:graphic>
          </wp:inline>
        </w:drawing>
      </w:r>
    </w:p>
    <w:p>
      <w:pPr>
        <w:jc w:val="center"/>
      </w:pPr>
      <w:r>
        <w:rPr>
          <w:i/>
          <w:color w:val="444444"/>
          <w:sz w:val="18"/>
        </w:rPr>
        <w:t>Figure 11. Fine vs coarse mesh DSM per site — Kinzig Stream. Coarse consistently exceeds fine at all sites.</w:t>
      </w:r>
    </w:p>
    <w:p/>
    <w:p>
      <w:pPr>
        <w:pStyle w:val="Heading3"/>
      </w:pPr>
      <w:r>
        <w:rPr>
          <w:rFonts w:ascii="Arial" w:hAnsi="Arial"/>
          <w:color w:val="375623"/>
        </w:rPr>
        <w:t>H4: Higher conductivity positively associated with decomposition rates</w:t>
      </w:r>
    </w:p>
    <w:p>
      <w:pPr>
        <w:spacing w:before="120" w:after="120"/>
      </w:pPr>
      <w:r>
        <w:rPr>
          <w:rFonts w:ascii="Arial" w:hAnsi="Arial"/>
          <w:b/>
          <w:i w:val="0"/>
          <w:color w:val="990000"/>
          <w:sz w:val="22"/>
        </w:rPr>
        <w:t xml:space="preserve">Result: NOT SUPPORTED (r = +0.202, p = 0.389). </w:t>
      </w:r>
      <w:r>
        <w:rPr>
          <w:rFonts w:ascii="Arial" w:hAnsi="Arial"/>
          <w:b w:val="0"/>
          <w:i w:val="0"/>
          <w:sz w:val="22"/>
        </w:rPr>
        <w:t>Conductivity was not a significant predictor of decomposition in Kinzig. Agricultural land use (H2) was the more precise driver of decomposition rates, and conductivity co-varies with nutrient loading but the direct ionic effect is not significant in this data set.</w:t>
      </w:r>
    </w:p>
    <w:p>
      <w:pPr>
        <w:jc w:val="center"/>
      </w:pPr>
      <w:r>
        <w:drawing>
          <wp:inline xmlns:a="http://schemas.openxmlformats.org/drawingml/2006/main" xmlns:pic="http://schemas.openxmlformats.org/drawingml/2006/picture">
            <wp:extent cx="5029200" cy="2086103"/>
            <wp:docPr id="12" name="Picture 12"/>
            <wp:cNvGraphicFramePr>
              <a:graphicFrameLocks noChangeAspect="1"/>
            </wp:cNvGraphicFramePr>
            <a:graphic>
              <a:graphicData uri="http://schemas.openxmlformats.org/drawingml/2006/picture">
                <pic:pic>
                  <pic:nvPicPr>
                    <pic:cNvPr id="0" name="Fig11_Kinzig_H4_Conductivity_vs_DSM.png"/>
                    <pic:cNvPicPr/>
                  </pic:nvPicPr>
                  <pic:blipFill>
                    <a:blip r:embed="rId20"/>
                    <a:stretch>
                      <a:fillRect/>
                    </a:stretch>
                  </pic:blipFill>
                  <pic:spPr>
                    <a:xfrm>
                      <a:off x="0" y="0"/>
                      <a:ext cx="5029200" cy="2086103"/>
                    </a:xfrm>
                    <a:prstGeom prst="rect"/>
                  </pic:spPr>
                </pic:pic>
              </a:graphicData>
            </a:graphic>
          </wp:inline>
        </w:drawing>
      </w:r>
    </w:p>
    <w:p>
      <w:pPr>
        <w:jc w:val="center"/>
      </w:pPr>
      <w:r>
        <w:rPr>
          <w:i/>
          <w:color w:val="444444"/>
          <w:sz w:val="18"/>
        </w:rPr>
        <w:t>Figure 12. Conductivity vs DSM — Kinzig Stream.</w:t>
      </w:r>
    </w:p>
    <w:p>
      <w:r>
        <w:br w:type="page"/>
      </w:r>
    </w:p>
    <w:p>
      <w:pPr>
        <w:pStyle w:val="Heading2"/>
      </w:pPr>
      <w:r>
        <w:rPr>
          <w:rFonts w:ascii="Arial" w:hAnsi="Arial"/>
          <w:color w:val="2E75B6"/>
        </w:rPr>
        <w:t>4.5 Correlation Matrices</w:t>
      </w:r>
    </w:p>
    <w:p>
      <w:pPr>
        <w:jc w:val="center"/>
      </w:pPr>
      <w:r>
        <w:drawing>
          <wp:inline xmlns:a="http://schemas.openxmlformats.org/drawingml/2006/main" xmlns:pic="http://schemas.openxmlformats.org/drawingml/2006/picture">
            <wp:extent cx="5029200" cy="4456819"/>
            <wp:docPr id="13" name="Picture 13"/>
            <wp:cNvGraphicFramePr>
              <a:graphicFrameLocks noChangeAspect="1"/>
            </wp:cNvGraphicFramePr>
            <a:graphic>
              <a:graphicData uri="http://schemas.openxmlformats.org/drawingml/2006/picture">
                <pic:pic>
                  <pic:nvPicPr>
                    <pic:cNvPr id="0" name="Fig12_Boye_Correlation_Heatmap.png"/>
                    <pic:cNvPicPr/>
                  </pic:nvPicPr>
                  <pic:blipFill>
                    <a:blip r:embed="rId21"/>
                    <a:stretch>
                      <a:fillRect/>
                    </a:stretch>
                  </pic:blipFill>
                  <pic:spPr>
                    <a:xfrm>
                      <a:off x="0" y="0"/>
                      <a:ext cx="5029200" cy="4456819"/>
                    </a:xfrm>
                    <a:prstGeom prst="rect"/>
                  </pic:spPr>
                </pic:pic>
              </a:graphicData>
            </a:graphic>
          </wp:inline>
        </w:drawing>
      </w:r>
    </w:p>
    <w:p>
      <w:pPr>
        <w:jc w:val="center"/>
      </w:pPr>
      <w:r>
        <w:rPr>
          <w:i/>
          <w:color w:val="444444"/>
          <w:sz w:val="18"/>
        </w:rPr>
        <w:t>Figure 13. Pearson correlation matrix — Boye Stream. Blue = positive, red = negative. Strong co-linearity among metals and conductivity.</w:t>
      </w:r>
    </w:p>
    <w:p/>
    <w:p>
      <w:pPr>
        <w:jc w:val="center"/>
      </w:pPr>
      <w:r>
        <w:drawing>
          <wp:inline xmlns:a="http://schemas.openxmlformats.org/drawingml/2006/main" xmlns:pic="http://schemas.openxmlformats.org/drawingml/2006/picture">
            <wp:extent cx="4572000" cy="4024312"/>
            <wp:docPr id="14" name="Picture 14"/>
            <wp:cNvGraphicFramePr>
              <a:graphicFrameLocks noChangeAspect="1"/>
            </wp:cNvGraphicFramePr>
            <a:graphic>
              <a:graphicData uri="http://schemas.openxmlformats.org/drawingml/2006/picture">
                <pic:pic>
                  <pic:nvPicPr>
                    <pic:cNvPr id="0" name="Fig13_Kinzig_Correlation_Heatmap.png"/>
                    <pic:cNvPicPr/>
                  </pic:nvPicPr>
                  <pic:blipFill>
                    <a:blip r:embed="rId22"/>
                    <a:stretch>
                      <a:fillRect/>
                    </a:stretch>
                  </pic:blipFill>
                  <pic:spPr>
                    <a:xfrm>
                      <a:off x="0" y="0"/>
                      <a:ext cx="4572000" cy="4024312"/>
                    </a:xfrm>
                    <a:prstGeom prst="rect"/>
                  </pic:spPr>
                </pic:pic>
              </a:graphicData>
            </a:graphic>
          </wp:inline>
        </w:drawing>
      </w:r>
    </w:p>
    <w:p>
      <w:pPr>
        <w:jc w:val="center"/>
      </w:pPr>
      <w:r>
        <w:rPr>
          <w:i/>
          <w:color w:val="444444"/>
          <w:sz w:val="18"/>
        </w:rPr>
        <w:t>Figure 14. Pearson correlation matrix — Kinzig Stream. Strong positive associations among nutrient variables and % agricultural land use.</w:t>
      </w:r>
    </w:p>
    <w:p>
      <w:r>
        <w:br w:type="page"/>
      </w:r>
    </w:p>
    <w:p>
      <w:pPr>
        <w:pStyle w:val="Heading1"/>
      </w:pPr>
      <w:r>
        <w:rPr>
          <w:rFonts w:ascii="Arial" w:hAnsi="Arial"/>
          <w:color w:val="1F3864"/>
        </w:rPr>
        <w:t>5. Hypothesis Summary Table</w:t>
      </w:r>
    </w:p>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567"/>
            <w:vAlign w:val="center"/>
            <w:shd w:val="clear" w:color="auto" w:fill="2E75B6"/>
            <w:tcBorders>
              <w:top w:val="single" w:sz="4" w:color="AAAAAA"/>
              <w:left w:val="single" w:sz="4" w:color="AAAAAA"/>
              <w:bottom w:val="single" w:sz="4" w:color="AAAAAA"/>
              <w:right w:val="single" w:sz="4" w:color="AAAAAA"/>
            </w:tcBorders>
          </w:tcPr>
          <w:p>
            <w:pPr>
              <w:jc w:val="center"/>
            </w:pPr>
            <w:r>
              <w:rPr>
                <w:b/>
                <w:color w:val="FFFFFF"/>
                <w:sz w:val="18"/>
              </w:rPr>
              <w:t>H</w:t>
            </w:r>
          </w:p>
        </w:tc>
        <w:tc>
          <w:tcPr>
            <w:tcW w:type="dxa" w:w="1020"/>
            <w:vAlign w:val="center"/>
            <w:shd w:val="clear" w:color="auto" w:fill="2E75B6"/>
            <w:tcBorders>
              <w:top w:val="single" w:sz="4" w:color="AAAAAA"/>
              <w:left w:val="single" w:sz="4" w:color="AAAAAA"/>
              <w:bottom w:val="single" w:sz="4" w:color="AAAAAA"/>
              <w:right w:val="single" w:sz="4" w:color="AAAAAA"/>
            </w:tcBorders>
          </w:tcPr>
          <w:p>
            <w:pPr>
              <w:jc w:val="center"/>
            </w:pPr>
            <w:r>
              <w:rPr>
                <w:b/>
                <w:color w:val="FFFFFF"/>
                <w:sz w:val="18"/>
              </w:rPr>
              <w:t>Stream</w:t>
            </w:r>
          </w:p>
        </w:tc>
        <w:tc>
          <w:tcPr>
            <w:tcW w:type="dxa" w:w="2835"/>
            <w:vAlign w:val="center"/>
            <w:shd w:val="clear" w:color="auto" w:fill="2E75B6"/>
            <w:tcBorders>
              <w:top w:val="single" w:sz="4" w:color="AAAAAA"/>
              <w:left w:val="single" w:sz="4" w:color="AAAAAA"/>
              <w:bottom w:val="single" w:sz="4" w:color="AAAAAA"/>
              <w:right w:val="single" w:sz="4" w:color="AAAAAA"/>
            </w:tcBorders>
          </w:tcPr>
          <w:p>
            <w:pPr>
              <w:jc w:val="center"/>
            </w:pPr>
            <w:r>
              <w:rPr>
                <w:b/>
                <w:color w:val="FFFFFF"/>
                <w:sz w:val="18"/>
              </w:rPr>
              <w:t>Hypothesis</w:t>
            </w:r>
          </w:p>
        </w:tc>
        <w:tc>
          <w:tcPr>
            <w:tcW w:type="dxa" w:w="1020"/>
            <w:vAlign w:val="center"/>
            <w:shd w:val="clear" w:color="auto" w:fill="2E75B6"/>
            <w:tcBorders>
              <w:top w:val="single" w:sz="4" w:color="AAAAAA"/>
              <w:left w:val="single" w:sz="4" w:color="AAAAAA"/>
              <w:bottom w:val="single" w:sz="4" w:color="AAAAAA"/>
              <w:right w:val="single" w:sz="4" w:color="AAAAAA"/>
            </w:tcBorders>
          </w:tcPr>
          <w:p>
            <w:pPr>
              <w:jc w:val="center"/>
            </w:pPr>
            <w:r>
              <w:rPr>
                <w:b/>
                <w:color w:val="FFFFFF"/>
                <w:sz w:val="18"/>
              </w:rPr>
              <w:t>Pearson r</w:t>
            </w:r>
          </w:p>
        </w:tc>
        <w:tc>
          <w:tcPr>
            <w:tcW w:type="dxa" w:w="1020"/>
            <w:vAlign w:val="center"/>
            <w:shd w:val="clear" w:color="auto" w:fill="2E75B6"/>
            <w:tcBorders>
              <w:top w:val="single" w:sz="4" w:color="AAAAAA"/>
              <w:left w:val="single" w:sz="4" w:color="AAAAAA"/>
              <w:bottom w:val="single" w:sz="4" w:color="AAAAAA"/>
              <w:right w:val="single" w:sz="4" w:color="AAAAAA"/>
            </w:tcBorders>
          </w:tcPr>
          <w:p>
            <w:pPr>
              <w:jc w:val="center"/>
            </w:pPr>
            <w:r>
              <w:rPr>
                <w:b/>
                <w:color w:val="FFFFFF"/>
                <w:sz w:val="18"/>
              </w:rPr>
              <w:t>p-value</w:t>
            </w:r>
          </w:p>
        </w:tc>
        <w:tc>
          <w:tcPr>
            <w:tcW w:type="dxa" w:w="1020"/>
            <w:vAlign w:val="center"/>
            <w:shd w:val="clear" w:color="auto" w:fill="2E75B6"/>
            <w:tcBorders>
              <w:top w:val="single" w:sz="4" w:color="AAAAAA"/>
              <w:left w:val="single" w:sz="4" w:color="AAAAAA"/>
              <w:bottom w:val="single" w:sz="4" w:color="AAAAAA"/>
              <w:right w:val="single" w:sz="4" w:color="AAAAAA"/>
            </w:tcBorders>
          </w:tcPr>
          <w:p>
            <w:pPr>
              <w:jc w:val="center"/>
            </w:pPr>
            <w:r>
              <w:rPr>
                <w:b/>
                <w:color w:val="FFFFFF"/>
                <w:sz w:val="18"/>
              </w:rPr>
              <w:t>Sig.?</w:t>
            </w:r>
          </w:p>
        </w:tc>
        <w:tc>
          <w:tcPr>
            <w:tcW w:type="dxa" w:w="1814"/>
            <w:vAlign w:val="center"/>
            <w:shd w:val="clear" w:color="auto" w:fill="2E75B6"/>
            <w:tcBorders>
              <w:top w:val="single" w:sz="4" w:color="AAAAAA"/>
              <w:left w:val="single" w:sz="4" w:color="AAAAAA"/>
              <w:bottom w:val="single" w:sz="4" w:color="AAAAAA"/>
              <w:right w:val="single" w:sz="4" w:color="AAAAAA"/>
            </w:tcBorders>
          </w:tcPr>
          <w:p>
            <w:pPr>
              <w:jc w:val="center"/>
            </w:pPr>
            <w:r>
              <w:rPr>
                <w:b/>
                <w:color w:val="FFFFFF"/>
                <w:sz w:val="18"/>
              </w:rPr>
              <w:t>Supported?</w:t>
            </w:r>
          </w:p>
        </w:tc>
      </w:tr>
      <w:tr>
        <w:tc>
          <w:tcPr>
            <w:tcW w:type="dxa" w:w="567"/>
            <w:tcBorders>
              <w:top w:val="single" w:sz="4" w:color="AAAAAA"/>
              <w:left w:val="single" w:sz="4" w:color="AAAAAA"/>
              <w:bottom w:val="single" w:sz="4" w:color="AAAAAA"/>
              <w:right w:val="single" w:sz="4" w:color="AAAAAA"/>
            </w:tcBorders>
          </w:tcPr>
          <w:p>
            <w:pPr>
              <w:jc w:val="center"/>
            </w:pPr>
            <w:r>
              <w:rPr>
                <w:sz w:val="18"/>
              </w:rPr>
              <w:t>H1</w:t>
            </w:r>
          </w:p>
        </w:tc>
        <w:tc>
          <w:tcPr>
            <w:tcW w:type="dxa" w:w="1020"/>
            <w:tcBorders>
              <w:top w:val="single" w:sz="4" w:color="AAAAAA"/>
              <w:left w:val="single" w:sz="4" w:color="AAAAAA"/>
              <w:bottom w:val="single" w:sz="4" w:color="AAAAAA"/>
              <w:right w:val="single" w:sz="4" w:color="AAAAAA"/>
            </w:tcBorders>
          </w:tcPr>
          <w:p>
            <w:pPr>
              <w:jc w:val="center"/>
            </w:pPr>
            <w:r>
              <w:rPr>
                <w:sz w:val="18"/>
              </w:rPr>
              <w:t>Boye</w:t>
            </w:r>
          </w:p>
        </w:tc>
        <w:tc>
          <w:tcPr>
            <w:tcW w:type="dxa" w:w="2835"/>
            <w:tcBorders>
              <w:top w:val="single" w:sz="4" w:color="AAAAAA"/>
              <w:left w:val="single" w:sz="4" w:color="AAAAAA"/>
              <w:bottom w:val="single" w:sz="4" w:color="AAAAAA"/>
              <w:right w:val="single" w:sz="4" w:color="AAAAAA"/>
            </w:tcBorders>
          </w:tcPr>
          <w:p>
            <w:pPr>
              <w:jc w:val="center"/>
            </w:pPr>
            <w:r>
              <w:rPr>
                <w:sz w:val="18"/>
              </w:rPr>
              <w:t>Conductivity vs Fine DSM</w:t>
            </w:r>
          </w:p>
        </w:tc>
        <w:tc>
          <w:tcPr>
            <w:tcW w:type="dxa" w:w="1020"/>
            <w:tcBorders>
              <w:top w:val="single" w:sz="4" w:color="AAAAAA"/>
              <w:left w:val="single" w:sz="4" w:color="AAAAAA"/>
              <w:bottom w:val="single" w:sz="4" w:color="AAAAAA"/>
              <w:right w:val="single" w:sz="4" w:color="AAAAAA"/>
            </w:tcBorders>
          </w:tcPr>
          <w:p>
            <w:pPr>
              <w:jc w:val="center"/>
            </w:pPr>
            <w:r>
              <w:rPr>
                <w:sz w:val="18"/>
              </w:rPr>
              <w:t>−0.459</w:t>
            </w:r>
          </w:p>
        </w:tc>
        <w:tc>
          <w:tcPr>
            <w:tcW w:type="dxa" w:w="1020"/>
            <w:tcBorders>
              <w:top w:val="single" w:sz="4" w:color="AAAAAA"/>
              <w:left w:val="single" w:sz="4" w:color="AAAAAA"/>
              <w:bottom w:val="single" w:sz="4" w:color="AAAAAA"/>
              <w:right w:val="single" w:sz="4" w:color="AAAAAA"/>
            </w:tcBorders>
          </w:tcPr>
          <w:p>
            <w:pPr>
              <w:jc w:val="center"/>
            </w:pPr>
            <w:r>
              <w:rPr>
                <w:sz w:val="18"/>
              </w:rPr>
              <w:t>0.028</w:t>
            </w:r>
          </w:p>
        </w:tc>
        <w:tc>
          <w:tcPr>
            <w:tcW w:type="dxa" w:w="1020"/>
            <w:tcBorders>
              <w:top w:val="single" w:sz="4" w:color="AAAAAA"/>
              <w:left w:val="single" w:sz="4" w:color="AAAAAA"/>
              <w:bottom w:val="single" w:sz="4" w:color="AAAAAA"/>
              <w:right w:val="single" w:sz="4" w:color="AAAAAA"/>
            </w:tcBorders>
          </w:tcPr>
          <w:p>
            <w:pPr>
              <w:jc w:val="center"/>
            </w:pPr>
            <w:r>
              <w:rPr>
                <w:sz w:val="18"/>
              </w:rPr>
              <w:t>Yes *</w:t>
            </w:r>
          </w:p>
        </w:tc>
        <w:tc>
          <w:tcPr>
            <w:tcW w:type="dxa" w:w="1814"/>
            <w:tcBorders>
              <w:top w:val="single" w:sz="4" w:color="AAAAAA"/>
              <w:left w:val="single" w:sz="4" w:color="AAAAAA"/>
              <w:bottom w:val="single" w:sz="4" w:color="AAAAAA"/>
              <w:right w:val="single" w:sz="4" w:color="AAAAAA"/>
            </w:tcBorders>
          </w:tcPr>
          <w:p>
            <w:pPr>
              <w:jc w:val="center"/>
            </w:pPr>
            <w:r>
              <w:rPr>
                <w:sz w:val="18"/>
              </w:rPr>
              <w:t>Supported</w:t>
            </w:r>
          </w:p>
        </w:tc>
      </w:tr>
      <w:tr>
        <w:tc>
          <w:tcPr>
            <w:tcW w:type="dxa" w:w="567"/>
            <w:shd w:val="clear" w:color="auto" w:fill="EEF4FB"/>
            <w:tcBorders>
              <w:top w:val="single" w:sz="4" w:color="AAAAAA"/>
              <w:left w:val="single" w:sz="4" w:color="AAAAAA"/>
              <w:bottom w:val="single" w:sz="4" w:color="AAAAAA"/>
              <w:right w:val="single" w:sz="4" w:color="AAAAAA"/>
            </w:tcBorders>
          </w:tcPr>
          <w:p>
            <w:pPr>
              <w:jc w:val="center"/>
            </w:pPr>
            <w:r>
              <w:rPr>
                <w:sz w:val="18"/>
              </w:rPr>
              <w:t>H2</w:t>
            </w:r>
          </w:p>
        </w:tc>
        <w:tc>
          <w:tcPr>
            <w:tcW w:type="dxa" w:w="1020"/>
            <w:tcBorders>
              <w:top w:val="single" w:sz="4" w:color="AAAAAA"/>
              <w:left w:val="single" w:sz="4" w:color="AAAAAA"/>
              <w:bottom w:val="single" w:sz="4" w:color="AAAAAA"/>
              <w:right w:val="single" w:sz="4" w:color="AAAAAA"/>
            </w:tcBorders>
          </w:tcPr>
          <w:p>
            <w:pPr>
              <w:jc w:val="center"/>
            </w:pPr>
            <w:r>
              <w:rPr>
                <w:sz w:val="18"/>
              </w:rPr>
              <w:t>Boye</w:t>
            </w:r>
          </w:p>
        </w:tc>
        <w:tc>
          <w:tcPr>
            <w:tcW w:type="dxa" w:w="2835"/>
            <w:shd w:val="clear" w:color="auto" w:fill="EEF4FB"/>
            <w:tcBorders>
              <w:top w:val="single" w:sz="4" w:color="AAAAAA"/>
              <w:left w:val="single" w:sz="4" w:color="AAAAAA"/>
              <w:bottom w:val="single" w:sz="4" w:color="AAAAAA"/>
              <w:right w:val="single" w:sz="4" w:color="AAAAAA"/>
            </w:tcBorders>
          </w:tcPr>
          <w:p>
            <w:pPr>
              <w:jc w:val="center"/>
            </w:pPr>
            <w:r>
              <w:rPr>
                <w:sz w:val="18"/>
              </w:rPr>
              <w:t>%Urban vs Fine DSM</w:t>
            </w:r>
          </w:p>
        </w:tc>
        <w:tc>
          <w:tcPr>
            <w:tcW w:type="dxa" w:w="1020"/>
            <w:tcBorders>
              <w:top w:val="single" w:sz="4" w:color="AAAAAA"/>
              <w:left w:val="single" w:sz="4" w:color="AAAAAA"/>
              <w:bottom w:val="single" w:sz="4" w:color="AAAAAA"/>
              <w:right w:val="single" w:sz="4" w:color="AAAAAA"/>
            </w:tcBorders>
          </w:tcPr>
          <w:p>
            <w:pPr>
              <w:jc w:val="center"/>
            </w:pPr>
            <w:r>
              <w:rPr>
                <w:sz w:val="18"/>
              </w:rPr>
              <w:t>−0.265</w:t>
            </w:r>
          </w:p>
        </w:tc>
        <w:tc>
          <w:tcPr>
            <w:tcW w:type="dxa" w:w="1020"/>
            <w:shd w:val="clear" w:color="auto" w:fill="EEF4FB"/>
            <w:tcBorders>
              <w:top w:val="single" w:sz="4" w:color="AAAAAA"/>
              <w:left w:val="single" w:sz="4" w:color="AAAAAA"/>
              <w:bottom w:val="single" w:sz="4" w:color="AAAAAA"/>
              <w:right w:val="single" w:sz="4" w:color="AAAAAA"/>
            </w:tcBorders>
          </w:tcPr>
          <w:p>
            <w:pPr>
              <w:jc w:val="center"/>
            </w:pPr>
            <w:r>
              <w:rPr>
                <w:sz w:val="18"/>
              </w:rPr>
              <w:t>0.247</w:t>
            </w:r>
          </w:p>
        </w:tc>
        <w:tc>
          <w:tcPr>
            <w:tcW w:type="dxa" w:w="1020"/>
            <w:tcBorders>
              <w:top w:val="single" w:sz="4" w:color="AAAAAA"/>
              <w:left w:val="single" w:sz="4" w:color="AAAAAA"/>
              <w:bottom w:val="single" w:sz="4" w:color="AAAAAA"/>
              <w:right w:val="single" w:sz="4" w:color="AAAAAA"/>
            </w:tcBorders>
          </w:tcPr>
          <w:p>
            <w:pPr>
              <w:jc w:val="center"/>
            </w:pPr>
            <w:r>
              <w:rPr>
                <w:sz w:val="18"/>
              </w:rPr>
              <w:t>No</w:t>
            </w:r>
          </w:p>
        </w:tc>
        <w:tc>
          <w:tcPr>
            <w:tcW w:type="dxa" w:w="1814"/>
            <w:shd w:val="clear" w:color="auto" w:fill="EEF4FB"/>
            <w:tcBorders>
              <w:top w:val="single" w:sz="4" w:color="AAAAAA"/>
              <w:left w:val="single" w:sz="4" w:color="AAAAAA"/>
              <w:bottom w:val="single" w:sz="4" w:color="AAAAAA"/>
              <w:right w:val="single" w:sz="4" w:color="AAAAAA"/>
            </w:tcBorders>
          </w:tcPr>
          <w:p>
            <w:pPr>
              <w:jc w:val="center"/>
            </w:pPr>
            <w:r>
              <w:rPr>
                <w:sz w:val="18"/>
              </w:rPr>
              <w:t>Not supported</w:t>
            </w:r>
          </w:p>
        </w:tc>
      </w:tr>
      <w:tr>
        <w:tc>
          <w:tcPr>
            <w:tcW w:type="dxa" w:w="567"/>
            <w:tcBorders>
              <w:top w:val="single" w:sz="4" w:color="AAAAAA"/>
              <w:left w:val="single" w:sz="4" w:color="AAAAAA"/>
              <w:bottom w:val="single" w:sz="4" w:color="AAAAAA"/>
              <w:right w:val="single" w:sz="4" w:color="AAAAAA"/>
            </w:tcBorders>
          </w:tcPr>
          <w:p>
            <w:pPr>
              <w:jc w:val="center"/>
            </w:pPr>
            <w:r>
              <w:rPr>
                <w:sz w:val="18"/>
              </w:rPr>
              <w:t>H3</w:t>
            </w:r>
          </w:p>
        </w:tc>
        <w:tc>
          <w:tcPr>
            <w:tcW w:type="dxa" w:w="1020"/>
            <w:tcBorders>
              <w:top w:val="single" w:sz="4" w:color="AAAAAA"/>
              <w:left w:val="single" w:sz="4" w:color="AAAAAA"/>
              <w:bottom w:val="single" w:sz="4" w:color="AAAAAA"/>
              <w:right w:val="single" w:sz="4" w:color="AAAAAA"/>
            </w:tcBorders>
          </w:tcPr>
          <w:p>
            <w:pPr>
              <w:jc w:val="center"/>
            </w:pPr>
            <w:r>
              <w:rPr>
                <w:sz w:val="18"/>
              </w:rPr>
              <w:t>Boye</w:t>
            </w:r>
          </w:p>
        </w:tc>
        <w:tc>
          <w:tcPr>
            <w:tcW w:type="dxa" w:w="2835"/>
            <w:tcBorders>
              <w:top w:val="single" w:sz="4" w:color="AAAAAA"/>
              <w:left w:val="single" w:sz="4" w:color="AAAAAA"/>
              <w:bottom w:val="single" w:sz="4" w:color="AAAAAA"/>
              <w:right w:val="single" w:sz="4" w:color="AAAAAA"/>
            </w:tcBorders>
          </w:tcPr>
          <w:p>
            <w:pPr>
              <w:jc w:val="center"/>
            </w:pPr>
            <w:r>
              <w:rPr>
                <w:sz w:val="18"/>
              </w:rPr>
              <w:t>Coarse vs Fine DSM (t-test)</w:t>
            </w:r>
          </w:p>
        </w:tc>
        <w:tc>
          <w:tcPr>
            <w:tcW w:type="dxa" w:w="1020"/>
            <w:tcBorders>
              <w:top w:val="single" w:sz="4" w:color="AAAAAA"/>
              <w:left w:val="single" w:sz="4" w:color="AAAAAA"/>
              <w:bottom w:val="single" w:sz="4" w:color="AAAAAA"/>
              <w:right w:val="single" w:sz="4" w:color="AAAAAA"/>
            </w:tcBorders>
          </w:tcPr>
          <w:p>
            <w:pPr>
              <w:jc w:val="center"/>
            </w:pPr>
            <w:r>
              <w:rPr>
                <w:sz w:val="18"/>
              </w:rPr>
              <w:t>n/a</w:t>
            </w:r>
          </w:p>
        </w:tc>
        <w:tc>
          <w:tcPr>
            <w:tcW w:type="dxa" w:w="1020"/>
            <w:tcBorders>
              <w:top w:val="single" w:sz="4" w:color="AAAAAA"/>
              <w:left w:val="single" w:sz="4" w:color="AAAAAA"/>
              <w:bottom w:val="single" w:sz="4" w:color="AAAAAA"/>
              <w:right w:val="single" w:sz="4" w:color="AAAAAA"/>
            </w:tcBorders>
          </w:tcPr>
          <w:p>
            <w:pPr>
              <w:jc w:val="center"/>
            </w:pPr>
            <w:r>
              <w:rPr>
                <w:sz w:val="18"/>
              </w:rPr>
              <w:t>&lt; 0.001</w:t>
            </w:r>
          </w:p>
        </w:tc>
        <w:tc>
          <w:tcPr>
            <w:tcW w:type="dxa" w:w="1020"/>
            <w:tcBorders>
              <w:top w:val="single" w:sz="4" w:color="AAAAAA"/>
              <w:left w:val="single" w:sz="4" w:color="AAAAAA"/>
              <w:bottom w:val="single" w:sz="4" w:color="AAAAAA"/>
              <w:right w:val="single" w:sz="4" w:color="AAAAAA"/>
            </w:tcBorders>
          </w:tcPr>
          <w:p>
            <w:pPr>
              <w:jc w:val="center"/>
            </w:pPr>
            <w:r>
              <w:rPr>
                <w:sz w:val="18"/>
              </w:rPr>
              <w:t>Yes ***</w:t>
            </w:r>
          </w:p>
        </w:tc>
        <w:tc>
          <w:tcPr>
            <w:tcW w:type="dxa" w:w="1814"/>
            <w:tcBorders>
              <w:top w:val="single" w:sz="4" w:color="AAAAAA"/>
              <w:left w:val="single" w:sz="4" w:color="AAAAAA"/>
              <w:bottom w:val="single" w:sz="4" w:color="AAAAAA"/>
              <w:right w:val="single" w:sz="4" w:color="AAAAAA"/>
            </w:tcBorders>
          </w:tcPr>
          <w:p>
            <w:pPr>
              <w:jc w:val="center"/>
            </w:pPr>
            <w:r>
              <w:rPr>
                <w:sz w:val="18"/>
              </w:rPr>
              <w:t>Partially</w:t>
            </w:r>
          </w:p>
        </w:tc>
      </w:tr>
      <w:tr>
        <w:tc>
          <w:tcPr>
            <w:tcW w:type="dxa" w:w="567"/>
            <w:shd w:val="clear" w:color="auto" w:fill="EEF4FB"/>
            <w:tcBorders>
              <w:top w:val="single" w:sz="4" w:color="AAAAAA"/>
              <w:left w:val="single" w:sz="4" w:color="AAAAAA"/>
              <w:bottom w:val="single" w:sz="4" w:color="AAAAAA"/>
              <w:right w:val="single" w:sz="4" w:color="AAAAAA"/>
            </w:tcBorders>
          </w:tcPr>
          <w:p>
            <w:pPr>
              <w:jc w:val="center"/>
            </w:pPr>
            <w:r>
              <w:rPr>
                <w:sz w:val="18"/>
              </w:rPr>
              <w:t>H4</w:t>
            </w:r>
          </w:p>
        </w:tc>
        <w:tc>
          <w:tcPr>
            <w:tcW w:type="dxa" w:w="1020"/>
            <w:tcBorders>
              <w:top w:val="single" w:sz="4" w:color="AAAAAA"/>
              <w:left w:val="single" w:sz="4" w:color="AAAAAA"/>
              <w:bottom w:val="single" w:sz="4" w:color="AAAAAA"/>
              <w:right w:val="single" w:sz="4" w:color="AAAAAA"/>
            </w:tcBorders>
          </w:tcPr>
          <w:p>
            <w:pPr>
              <w:jc w:val="center"/>
            </w:pPr>
            <w:r>
              <w:rPr>
                <w:sz w:val="18"/>
              </w:rPr>
              <w:t>Boye</w:t>
            </w:r>
          </w:p>
        </w:tc>
        <w:tc>
          <w:tcPr>
            <w:tcW w:type="dxa" w:w="2835"/>
            <w:shd w:val="clear" w:color="auto" w:fill="EEF4FB"/>
            <w:tcBorders>
              <w:top w:val="single" w:sz="4" w:color="AAAAAA"/>
              <w:left w:val="single" w:sz="4" w:color="AAAAAA"/>
              <w:bottom w:val="single" w:sz="4" w:color="AAAAAA"/>
              <w:right w:val="single" w:sz="4" w:color="AAAAAA"/>
            </w:tcBorders>
          </w:tcPr>
          <w:p>
            <w:pPr>
              <w:jc w:val="center"/>
            </w:pPr>
            <w:r>
              <w:rPr>
                <w:sz w:val="18"/>
              </w:rPr>
              <w:t>Zn vs Fine DSM</w:t>
            </w:r>
          </w:p>
        </w:tc>
        <w:tc>
          <w:tcPr>
            <w:tcW w:type="dxa" w:w="1020"/>
            <w:tcBorders>
              <w:top w:val="single" w:sz="4" w:color="AAAAAA"/>
              <w:left w:val="single" w:sz="4" w:color="AAAAAA"/>
              <w:bottom w:val="single" w:sz="4" w:color="AAAAAA"/>
              <w:right w:val="single" w:sz="4" w:color="AAAAAA"/>
            </w:tcBorders>
          </w:tcPr>
          <w:p>
            <w:pPr>
              <w:jc w:val="center"/>
            </w:pPr>
            <w:r>
              <w:rPr>
                <w:sz w:val="18"/>
              </w:rPr>
              <w:t>−0.025</w:t>
            </w:r>
          </w:p>
        </w:tc>
        <w:tc>
          <w:tcPr>
            <w:tcW w:type="dxa" w:w="1020"/>
            <w:shd w:val="clear" w:color="auto" w:fill="EEF4FB"/>
            <w:tcBorders>
              <w:top w:val="single" w:sz="4" w:color="AAAAAA"/>
              <w:left w:val="single" w:sz="4" w:color="AAAAAA"/>
              <w:bottom w:val="single" w:sz="4" w:color="AAAAAA"/>
              <w:right w:val="single" w:sz="4" w:color="AAAAAA"/>
            </w:tcBorders>
          </w:tcPr>
          <w:p>
            <w:pPr>
              <w:jc w:val="center"/>
            </w:pPr>
            <w:r>
              <w:rPr>
                <w:sz w:val="18"/>
              </w:rPr>
              <w:t>0.919</w:t>
            </w:r>
          </w:p>
        </w:tc>
        <w:tc>
          <w:tcPr>
            <w:tcW w:type="dxa" w:w="1020"/>
            <w:tcBorders>
              <w:top w:val="single" w:sz="4" w:color="AAAAAA"/>
              <w:left w:val="single" w:sz="4" w:color="AAAAAA"/>
              <w:bottom w:val="single" w:sz="4" w:color="AAAAAA"/>
              <w:right w:val="single" w:sz="4" w:color="AAAAAA"/>
            </w:tcBorders>
          </w:tcPr>
          <w:p>
            <w:pPr>
              <w:jc w:val="center"/>
            </w:pPr>
            <w:r>
              <w:rPr>
                <w:sz w:val="18"/>
              </w:rPr>
              <w:t>No</w:t>
            </w:r>
          </w:p>
        </w:tc>
        <w:tc>
          <w:tcPr>
            <w:tcW w:type="dxa" w:w="1814"/>
            <w:shd w:val="clear" w:color="auto" w:fill="EEF4FB"/>
            <w:tcBorders>
              <w:top w:val="single" w:sz="4" w:color="AAAAAA"/>
              <w:left w:val="single" w:sz="4" w:color="AAAAAA"/>
              <w:bottom w:val="single" w:sz="4" w:color="AAAAAA"/>
              <w:right w:val="single" w:sz="4" w:color="AAAAAA"/>
            </w:tcBorders>
          </w:tcPr>
          <w:p>
            <w:pPr>
              <w:jc w:val="center"/>
            </w:pPr>
            <w:r>
              <w:rPr>
                <w:sz w:val="18"/>
              </w:rPr>
              <w:t>Not supported</w:t>
            </w:r>
          </w:p>
        </w:tc>
      </w:tr>
      <w:tr>
        <w:tc>
          <w:tcPr>
            <w:tcW w:type="dxa" w:w="567"/>
            <w:tcBorders>
              <w:top w:val="single" w:sz="4" w:color="AAAAAA"/>
              <w:left w:val="single" w:sz="4" w:color="AAAAAA"/>
              <w:bottom w:val="single" w:sz="4" w:color="AAAAAA"/>
              <w:right w:val="single" w:sz="4" w:color="AAAAAA"/>
            </w:tcBorders>
          </w:tcPr>
          <w:p>
            <w:pPr>
              <w:jc w:val="center"/>
            </w:pPr>
            <w:r>
              <w:rPr>
                <w:sz w:val="18"/>
              </w:rPr>
              <w:t>H1</w:t>
            </w:r>
          </w:p>
        </w:tc>
        <w:tc>
          <w:tcPr>
            <w:tcW w:type="dxa" w:w="1020"/>
            <w:tcBorders>
              <w:top w:val="single" w:sz="4" w:color="AAAAAA"/>
              <w:left w:val="single" w:sz="4" w:color="AAAAAA"/>
              <w:bottom w:val="single" w:sz="4" w:color="AAAAAA"/>
              <w:right w:val="single" w:sz="4" w:color="AAAAAA"/>
            </w:tcBorders>
          </w:tcPr>
          <w:p>
            <w:pPr>
              <w:jc w:val="center"/>
            </w:pPr>
            <w:r>
              <w:rPr>
                <w:sz w:val="18"/>
              </w:rPr>
              <w:t>Kinzig</w:t>
            </w:r>
          </w:p>
        </w:tc>
        <w:tc>
          <w:tcPr>
            <w:tcW w:type="dxa" w:w="2835"/>
            <w:tcBorders>
              <w:top w:val="single" w:sz="4" w:color="AAAAAA"/>
              <w:left w:val="single" w:sz="4" w:color="AAAAAA"/>
              <w:bottom w:val="single" w:sz="4" w:color="AAAAAA"/>
              <w:right w:val="single" w:sz="4" w:color="AAAAAA"/>
            </w:tcBorders>
          </w:tcPr>
          <w:p>
            <w:pPr>
              <w:jc w:val="center"/>
            </w:pPr>
            <w:r>
              <w:rPr>
                <w:sz w:val="18"/>
              </w:rPr>
              <w:t>Nitrate vs Fine DSM</w:t>
            </w:r>
          </w:p>
        </w:tc>
        <w:tc>
          <w:tcPr>
            <w:tcW w:type="dxa" w:w="1020"/>
            <w:tcBorders>
              <w:top w:val="single" w:sz="4" w:color="AAAAAA"/>
              <w:left w:val="single" w:sz="4" w:color="AAAAAA"/>
              <w:bottom w:val="single" w:sz="4" w:color="AAAAAA"/>
              <w:right w:val="single" w:sz="4" w:color="AAAAAA"/>
            </w:tcBorders>
          </w:tcPr>
          <w:p>
            <w:pPr>
              <w:jc w:val="center"/>
            </w:pPr>
            <w:r>
              <w:rPr>
                <w:sz w:val="18"/>
              </w:rPr>
              <w:t>+0.344</w:t>
            </w:r>
          </w:p>
        </w:tc>
        <w:tc>
          <w:tcPr>
            <w:tcW w:type="dxa" w:w="1020"/>
            <w:tcBorders>
              <w:top w:val="single" w:sz="4" w:color="AAAAAA"/>
              <w:left w:val="single" w:sz="4" w:color="AAAAAA"/>
              <w:bottom w:val="single" w:sz="4" w:color="AAAAAA"/>
              <w:right w:val="single" w:sz="4" w:color="AAAAAA"/>
            </w:tcBorders>
          </w:tcPr>
          <w:p>
            <w:pPr>
              <w:jc w:val="center"/>
            </w:pPr>
            <w:r>
              <w:rPr>
                <w:sz w:val="18"/>
              </w:rPr>
              <w:t>0.120</w:t>
            </w:r>
          </w:p>
        </w:tc>
        <w:tc>
          <w:tcPr>
            <w:tcW w:type="dxa" w:w="1020"/>
            <w:tcBorders>
              <w:top w:val="single" w:sz="4" w:color="AAAAAA"/>
              <w:left w:val="single" w:sz="4" w:color="AAAAAA"/>
              <w:bottom w:val="single" w:sz="4" w:color="AAAAAA"/>
              <w:right w:val="single" w:sz="4" w:color="AAAAAA"/>
            </w:tcBorders>
          </w:tcPr>
          <w:p>
            <w:pPr>
              <w:jc w:val="center"/>
            </w:pPr>
            <w:r>
              <w:rPr>
                <w:sz w:val="18"/>
              </w:rPr>
              <w:t>No (trend)</w:t>
            </w:r>
          </w:p>
        </w:tc>
        <w:tc>
          <w:tcPr>
            <w:tcW w:type="dxa" w:w="1814"/>
            <w:tcBorders>
              <w:top w:val="single" w:sz="4" w:color="AAAAAA"/>
              <w:left w:val="single" w:sz="4" w:color="AAAAAA"/>
              <w:bottom w:val="single" w:sz="4" w:color="AAAAAA"/>
              <w:right w:val="single" w:sz="4" w:color="AAAAAA"/>
            </w:tcBorders>
          </w:tcPr>
          <w:p>
            <w:pPr>
              <w:jc w:val="center"/>
            </w:pPr>
            <w:r>
              <w:rPr>
                <w:sz w:val="18"/>
              </w:rPr>
              <w:t>Not significant</w:t>
            </w:r>
          </w:p>
        </w:tc>
      </w:tr>
      <w:tr>
        <w:tc>
          <w:tcPr>
            <w:tcW w:type="dxa" w:w="567"/>
            <w:shd w:val="clear" w:color="auto" w:fill="EEF4FB"/>
            <w:tcBorders>
              <w:top w:val="single" w:sz="4" w:color="AAAAAA"/>
              <w:left w:val="single" w:sz="4" w:color="AAAAAA"/>
              <w:bottom w:val="single" w:sz="4" w:color="AAAAAA"/>
              <w:right w:val="single" w:sz="4" w:color="AAAAAA"/>
            </w:tcBorders>
          </w:tcPr>
          <w:p>
            <w:pPr>
              <w:jc w:val="center"/>
            </w:pPr>
            <w:r>
              <w:rPr>
                <w:sz w:val="18"/>
              </w:rPr>
              <w:t>H2</w:t>
            </w:r>
          </w:p>
        </w:tc>
        <w:tc>
          <w:tcPr>
            <w:tcW w:type="dxa" w:w="1020"/>
            <w:tcBorders>
              <w:top w:val="single" w:sz="4" w:color="AAAAAA"/>
              <w:left w:val="single" w:sz="4" w:color="AAAAAA"/>
              <w:bottom w:val="single" w:sz="4" w:color="AAAAAA"/>
              <w:right w:val="single" w:sz="4" w:color="AAAAAA"/>
            </w:tcBorders>
          </w:tcPr>
          <w:p>
            <w:pPr>
              <w:jc w:val="center"/>
            </w:pPr>
            <w:r>
              <w:rPr>
                <w:sz w:val="18"/>
              </w:rPr>
              <w:t>Kinzig</w:t>
            </w:r>
          </w:p>
        </w:tc>
        <w:tc>
          <w:tcPr>
            <w:tcW w:type="dxa" w:w="2835"/>
            <w:shd w:val="clear" w:color="auto" w:fill="EEF4FB"/>
            <w:tcBorders>
              <w:top w:val="single" w:sz="4" w:color="AAAAAA"/>
              <w:left w:val="single" w:sz="4" w:color="AAAAAA"/>
              <w:bottom w:val="single" w:sz="4" w:color="AAAAAA"/>
              <w:right w:val="single" w:sz="4" w:color="AAAAAA"/>
            </w:tcBorders>
          </w:tcPr>
          <w:p>
            <w:pPr>
              <w:jc w:val="center"/>
            </w:pPr>
            <w:r>
              <w:rPr>
                <w:sz w:val="18"/>
              </w:rPr>
              <w:t>%Agricultural vs Fine DSM</w:t>
            </w:r>
          </w:p>
        </w:tc>
        <w:tc>
          <w:tcPr>
            <w:tcW w:type="dxa" w:w="1020"/>
            <w:tcBorders>
              <w:top w:val="single" w:sz="4" w:color="AAAAAA"/>
              <w:left w:val="single" w:sz="4" w:color="AAAAAA"/>
              <w:bottom w:val="single" w:sz="4" w:color="AAAAAA"/>
              <w:right w:val="single" w:sz="4" w:color="AAAAAA"/>
            </w:tcBorders>
          </w:tcPr>
          <w:p>
            <w:pPr>
              <w:jc w:val="center"/>
            </w:pPr>
            <w:r>
              <w:rPr>
                <w:sz w:val="18"/>
              </w:rPr>
              <w:t>+0.738</w:t>
            </w:r>
          </w:p>
        </w:tc>
        <w:tc>
          <w:tcPr>
            <w:tcW w:type="dxa" w:w="1020"/>
            <w:shd w:val="clear" w:color="auto" w:fill="EEF4FB"/>
            <w:tcBorders>
              <w:top w:val="single" w:sz="4" w:color="AAAAAA"/>
              <w:left w:val="single" w:sz="4" w:color="AAAAAA"/>
              <w:bottom w:val="single" w:sz="4" w:color="AAAAAA"/>
              <w:right w:val="single" w:sz="4" w:color="AAAAAA"/>
            </w:tcBorders>
          </w:tcPr>
          <w:p>
            <w:pPr>
              <w:jc w:val="center"/>
            </w:pPr>
            <w:r>
              <w:rPr>
                <w:sz w:val="18"/>
              </w:rPr>
              <w:t>0.0002</w:t>
            </w:r>
          </w:p>
        </w:tc>
        <w:tc>
          <w:tcPr>
            <w:tcW w:type="dxa" w:w="1020"/>
            <w:tcBorders>
              <w:top w:val="single" w:sz="4" w:color="AAAAAA"/>
              <w:left w:val="single" w:sz="4" w:color="AAAAAA"/>
              <w:bottom w:val="single" w:sz="4" w:color="AAAAAA"/>
              <w:right w:val="single" w:sz="4" w:color="AAAAAA"/>
            </w:tcBorders>
          </w:tcPr>
          <w:p>
            <w:pPr>
              <w:jc w:val="center"/>
            </w:pPr>
            <w:r>
              <w:rPr>
                <w:sz w:val="18"/>
              </w:rPr>
              <w:t>Yes ***</w:t>
            </w:r>
          </w:p>
        </w:tc>
        <w:tc>
          <w:tcPr>
            <w:tcW w:type="dxa" w:w="1814"/>
            <w:shd w:val="clear" w:color="auto" w:fill="EEF4FB"/>
            <w:tcBorders>
              <w:top w:val="single" w:sz="4" w:color="AAAAAA"/>
              <w:left w:val="single" w:sz="4" w:color="AAAAAA"/>
              <w:bottom w:val="single" w:sz="4" w:color="AAAAAA"/>
              <w:right w:val="single" w:sz="4" w:color="AAAAAA"/>
            </w:tcBorders>
          </w:tcPr>
          <w:p>
            <w:pPr>
              <w:jc w:val="center"/>
            </w:pPr>
            <w:r>
              <w:rPr>
                <w:sz w:val="18"/>
              </w:rPr>
              <w:t>Strongly supported</w:t>
            </w:r>
          </w:p>
        </w:tc>
      </w:tr>
      <w:tr>
        <w:tc>
          <w:tcPr>
            <w:tcW w:type="dxa" w:w="567"/>
            <w:tcBorders>
              <w:top w:val="single" w:sz="4" w:color="AAAAAA"/>
              <w:left w:val="single" w:sz="4" w:color="AAAAAA"/>
              <w:bottom w:val="single" w:sz="4" w:color="AAAAAA"/>
              <w:right w:val="single" w:sz="4" w:color="AAAAAA"/>
            </w:tcBorders>
          </w:tcPr>
          <w:p>
            <w:pPr>
              <w:jc w:val="center"/>
            </w:pPr>
            <w:r>
              <w:rPr>
                <w:sz w:val="18"/>
              </w:rPr>
              <w:t>H3</w:t>
            </w:r>
          </w:p>
        </w:tc>
        <w:tc>
          <w:tcPr>
            <w:tcW w:type="dxa" w:w="1020"/>
            <w:tcBorders>
              <w:top w:val="single" w:sz="4" w:color="AAAAAA"/>
              <w:left w:val="single" w:sz="4" w:color="AAAAAA"/>
              <w:bottom w:val="single" w:sz="4" w:color="AAAAAA"/>
              <w:right w:val="single" w:sz="4" w:color="AAAAAA"/>
            </w:tcBorders>
          </w:tcPr>
          <w:p>
            <w:pPr>
              <w:jc w:val="center"/>
            </w:pPr>
            <w:r>
              <w:rPr>
                <w:sz w:val="18"/>
              </w:rPr>
              <w:t>Kinzig</w:t>
            </w:r>
          </w:p>
        </w:tc>
        <w:tc>
          <w:tcPr>
            <w:tcW w:type="dxa" w:w="2835"/>
            <w:tcBorders>
              <w:top w:val="single" w:sz="4" w:color="AAAAAA"/>
              <w:left w:val="single" w:sz="4" w:color="AAAAAA"/>
              <w:bottom w:val="single" w:sz="4" w:color="AAAAAA"/>
              <w:right w:val="single" w:sz="4" w:color="AAAAAA"/>
            </w:tcBorders>
          </w:tcPr>
          <w:p>
            <w:pPr>
              <w:jc w:val="center"/>
            </w:pPr>
            <w:r>
              <w:rPr>
                <w:sz w:val="18"/>
              </w:rPr>
              <w:t>Coarse vs Fine DSM (t-test)</w:t>
            </w:r>
          </w:p>
        </w:tc>
        <w:tc>
          <w:tcPr>
            <w:tcW w:type="dxa" w:w="1020"/>
            <w:tcBorders>
              <w:top w:val="single" w:sz="4" w:color="AAAAAA"/>
              <w:left w:val="single" w:sz="4" w:color="AAAAAA"/>
              <w:bottom w:val="single" w:sz="4" w:color="AAAAAA"/>
              <w:right w:val="single" w:sz="4" w:color="AAAAAA"/>
            </w:tcBorders>
          </w:tcPr>
          <w:p>
            <w:pPr>
              <w:jc w:val="center"/>
            </w:pPr>
            <w:r>
              <w:rPr>
                <w:sz w:val="18"/>
              </w:rPr>
              <w:t>n/a</w:t>
            </w:r>
          </w:p>
        </w:tc>
        <w:tc>
          <w:tcPr>
            <w:tcW w:type="dxa" w:w="1020"/>
            <w:tcBorders>
              <w:top w:val="single" w:sz="4" w:color="AAAAAA"/>
              <w:left w:val="single" w:sz="4" w:color="AAAAAA"/>
              <w:bottom w:val="single" w:sz="4" w:color="AAAAAA"/>
              <w:right w:val="single" w:sz="4" w:color="AAAAAA"/>
            </w:tcBorders>
          </w:tcPr>
          <w:p>
            <w:pPr>
              <w:jc w:val="center"/>
            </w:pPr>
            <w:r>
              <w:rPr>
                <w:sz w:val="18"/>
              </w:rPr>
              <w:t>&lt; 0.001</w:t>
            </w:r>
          </w:p>
        </w:tc>
        <w:tc>
          <w:tcPr>
            <w:tcW w:type="dxa" w:w="1020"/>
            <w:tcBorders>
              <w:top w:val="single" w:sz="4" w:color="AAAAAA"/>
              <w:left w:val="single" w:sz="4" w:color="AAAAAA"/>
              <w:bottom w:val="single" w:sz="4" w:color="AAAAAA"/>
              <w:right w:val="single" w:sz="4" w:color="AAAAAA"/>
            </w:tcBorders>
          </w:tcPr>
          <w:p>
            <w:pPr>
              <w:jc w:val="center"/>
            </w:pPr>
            <w:r>
              <w:rPr>
                <w:sz w:val="18"/>
              </w:rPr>
              <w:t>Yes ***</w:t>
            </w:r>
          </w:p>
        </w:tc>
        <w:tc>
          <w:tcPr>
            <w:tcW w:type="dxa" w:w="1814"/>
            <w:tcBorders>
              <w:top w:val="single" w:sz="4" w:color="AAAAAA"/>
              <w:left w:val="single" w:sz="4" w:color="AAAAAA"/>
              <w:bottom w:val="single" w:sz="4" w:color="AAAAAA"/>
              <w:right w:val="single" w:sz="4" w:color="AAAAAA"/>
            </w:tcBorders>
          </w:tcPr>
          <w:p>
            <w:pPr>
              <w:jc w:val="center"/>
            </w:pPr>
            <w:r>
              <w:rPr>
                <w:sz w:val="18"/>
              </w:rPr>
              <w:t>Strongly supported</w:t>
            </w:r>
          </w:p>
        </w:tc>
      </w:tr>
      <w:tr>
        <w:tc>
          <w:tcPr>
            <w:tcW w:type="dxa" w:w="567"/>
            <w:shd w:val="clear" w:color="auto" w:fill="EEF4FB"/>
            <w:tcBorders>
              <w:top w:val="single" w:sz="4" w:color="AAAAAA"/>
              <w:left w:val="single" w:sz="4" w:color="AAAAAA"/>
              <w:bottom w:val="single" w:sz="4" w:color="AAAAAA"/>
              <w:right w:val="single" w:sz="4" w:color="AAAAAA"/>
            </w:tcBorders>
          </w:tcPr>
          <w:p>
            <w:pPr>
              <w:jc w:val="center"/>
            </w:pPr>
            <w:r>
              <w:rPr>
                <w:sz w:val="18"/>
              </w:rPr>
              <w:t>H4</w:t>
            </w:r>
          </w:p>
        </w:tc>
        <w:tc>
          <w:tcPr>
            <w:tcW w:type="dxa" w:w="1020"/>
            <w:tcBorders>
              <w:top w:val="single" w:sz="4" w:color="AAAAAA"/>
              <w:left w:val="single" w:sz="4" w:color="AAAAAA"/>
              <w:bottom w:val="single" w:sz="4" w:color="AAAAAA"/>
              <w:right w:val="single" w:sz="4" w:color="AAAAAA"/>
            </w:tcBorders>
          </w:tcPr>
          <w:p>
            <w:pPr>
              <w:jc w:val="center"/>
            </w:pPr>
            <w:r>
              <w:rPr>
                <w:sz w:val="18"/>
              </w:rPr>
              <w:t>Kinzig</w:t>
            </w:r>
          </w:p>
        </w:tc>
        <w:tc>
          <w:tcPr>
            <w:tcW w:type="dxa" w:w="2835"/>
            <w:shd w:val="clear" w:color="auto" w:fill="EEF4FB"/>
            <w:tcBorders>
              <w:top w:val="single" w:sz="4" w:color="AAAAAA"/>
              <w:left w:val="single" w:sz="4" w:color="AAAAAA"/>
              <w:bottom w:val="single" w:sz="4" w:color="AAAAAA"/>
              <w:right w:val="single" w:sz="4" w:color="AAAAAA"/>
            </w:tcBorders>
          </w:tcPr>
          <w:p>
            <w:pPr>
              <w:jc w:val="center"/>
            </w:pPr>
            <w:r>
              <w:rPr>
                <w:sz w:val="18"/>
              </w:rPr>
              <w:t>Conductivity vs Fine DSM</w:t>
            </w:r>
          </w:p>
        </w:tc>
        <w:tc>
          <w:tcPr>
            <w:tcW w:type="dxa" w:w="1020"/>
            <w:tcBorders>
              <w:top w:val="single" w:sz="4" w:color="AAAAAA"/>
              <w:left w:val="single" w:sz="4" w:color="AAAAAA"/>
              <w:bottom w:val="single" w:sz="4" w:color="AAAAAA"/>
              <w:right w:val="single" w:sz="4" w:color="AAAAAA"/>
            </w:tcBorders>
          </w:tcPr>
          <w:p>
            <w:pPr>
              <w:jc w:val="center"/>
            </w:pPr>
            <w:r>
              <w:rPr>
                <w:sz w:val="18"/>
              </w:rPr>
              <w:t>+0.202</w:t>
            </w:r>
          </w:p>
        </w:tc>
        <w:tc>
          <w:tcPr>
            <w:tcW w:type="dxa" w:w="1020"/>
            <w:shd w:val="clear" w:color="auto" w:fill="EEF4FB"/>
            <w:tcBorders>
              <w:top w:val="single" w:sz="4" w:color="AAAAAA"/>
              <w:left w:val="single" w:sz="4" w:color="AAAAAA"/>
              <w:bottom w:val="single" w:sz="4" w:color="AAAAAA"/>
              <w:right w:val="single" w:sz="4" w:color="AAAAAA"/>
            </w:tcBorders>
          </w:tcPr>
          <w:p>
            <w:pPr>
              <w:jc w:val="center"/>
            </w:pPr>
            <w:r>
              <w:rPr>
                <w:sz w:val="18"/>
              </w:rPr>
              <w:t>0.389</w:t>
            </w:r>
          </w:p>
        </w:tc>
        <w:tc>
          <w:tcPr>
            <w:tcW w:type="dxa" w:w="1020"/>
            <w:tcBorders>
              <w:top w:val="single" w:sz="4" w:color="AAAAAA"/>
              <w:left w:val="single" w:sz="4" w:color="AAAAAA"/>
              <w:bottom w:val="single" w:sz="4" w:color="AAAAAA"/>
              <w:right w:val="single" w:sz="4" w:color="AAAAAA"/>
            </w:tcBorders>
          </w:tcPr>
          <w:p>
            <w:pPr>
              <w:jc w:val="center"/>
            </w:pPr>
            <w:r>
              <w:rPr>
                <w:sz w:val="18"/>
              </w:rPr>
              <w:t>No</w:t>
            </w:r>
          </w:p>
        </w:tc>
        <w:tc>
          <w:tcPr>
            <w:tcW w:type="dxa" w:w="1814"/>
            <w:shd w:val="clear" w:color="auto" w:fill="EEF4FB"/>
            <w:tcBorders>
              <w:top w:val="single" w:sz="4" w:color="AAAAAA"/>
              <w:left w:val="single" w:sz="4" w:color="AAAAAA"/>
              <w:bottom w:val="single" w:sz="4" w:color="AAAAAA"/>
              <w:right w:val="single" w:sz="4" w:color="AAAAAA"/>
            </w:tcBorders>
          </w:tcPr>
          <w:p>
            <w:pPr>
              <w:jc w:val="center"/>
            </w:pPr>
            <w:r>
              <w:rPr>
                <w:sz w:val="18"/>
              </w:rPr>
              <w:t>Not supported</w:t>
            </w:r>
          </w:p>
        </w:tc>
      </w:tr>
    </w:tbl>
    <w:p/>
    <w:p>
      <w:pPr>
        <w:jc w:val="center"/>
      </w:pPr>
      <w:r>
        <w:rPr>
          <w:i/>
          <w:sz w:val="18"/>
        </w:rPr>
        <w:t>Table 3. Summary of all hypothesis test results. * p &lt; 0.05, *** p &lt; 0.001.</w:t>
      </w:r>
    </w:p>
    <w:p>
      <w:r>
        <w:br w:type="page"/>
      </w:r>
    </w:p>
    <w:p>
      <w:pPr>
        <w:pStyle w:val="Heading1"/>
      </w:pPr>
      <w:r>
        <w:rPr>
          <w:rFonts w:ascii="Arial" w:hAnsi="Arial"/>
          <w:color w:val="1F3864"/>
        </w:rPr>
        <w:t>6. Conclusions</w:t>
      </w:r>
    </w:p>
    <w:p>
      <w:pPr>
        <w:spacing w:before="120" w:after="120"/>
      </w:pPr>
      <w:r>
        <w:rPr>
          <w:rFonts w:ascii="Arial" w:hAnsi="Arial"/>
          <w:b/>
          <w:i w:val="0"/>
          <w:sz w:val="22"/>
        </w:rPr>
        <w:t>The Boye Stream</w:t>
      </w:r>
      <w:r>
        <w:rPr>
          <w:rFonts w:ascii="Arial" w:hAnsi="Arial"/>
          <w:b w:val="0"/>
          <w:i w:val="0"/>
          <w:sz w:val="22"/>
        </w:rPr>
        <w:t xml:space="preserve"> was primarily constrained by ionic contamination (conductivity), where H1 was supported — elevated conductivity negatively predicted microbial decomposition rates. Metal contamination remained below functionally relevant thresholds and did not significantly inhibit decomposition.</w:t>
      </w:r>
    </w:p>
    <w:p>
      <w:pPr>
        <w:spacing w:before="120" w:after="120"/>
      </w:pPr>
      <w:r>
        <w:rPr>
          <w:rFonts w:ascii="Arial" w:hAnsi="Arial"/>
          <w:b/>
          <w:i w:val="0"/>
          <w:sz w:val="22"/>
        </w:rPr>
        <w:t>The Kinzig Stream</w:t>
      </w:r>
      <w:r>
        <w:rPr>
          <w:rFonts w:ascii="Arial" w:hAnsi="Arial"/>
          <w:b w:val="0"/>
          <w:i w:val="0"/>
          <w:sz w:val="22"/>
        </w:rPr>
        <w:t xml:space="preserve"> showed a strong and highly significant positive relationship between agricultural land use and microbial (fine mesh) decomposition, consistent with nutrient-stimulated fungal activity. This was the strongest relationship found in the entire study (r = 0.738, p = 0.0002).</w:t>
      </w:r>
    </w:p>
    <w:p>
      <w:pPr>
        <w:spacing w:before="120" w:after="120"/>
      </w:pPr>
      <w:r>
        <w:rPr>
          <w:rFonts w:ascii="Arial" w:hAnsi="Arial"/>
          <w:b w:val="0"/>
          <w:i w:val="0"/>
          <w:sz w:val="22"/>
        </w:rPr>
        <w:t>In both catchments, invertebrate shredder activity (coarse–fine DSM ratio of 3.0–3.6×) was highly significant (p &lt; 0.001), confirming the critical ecosystem service role of shredding macroinvertebrates in both impacted and agricultural stream systems.</w:t>
      </w:r>
    </w:p>
    <w:p>
      <w:pPr>
        <w:spacing w:before="120" w:after="120"/>
      </w:pPr>
      <w:r>
        <w:rPr>
          <w:rFonts w:ascii="Arial" w:hAnsi="Arial"/>
          <w:b w:val="0"/>
          <w:i w:val="0"/>
          <w:sz w:val="22"/>
        </w:rPr>
        <w:t>These findings suggest that the key environmental driver of stream ecosystem function differs by catchment context: ionic and urban pollution constrains microbial decomposition in urbanised streams, while nutrient enrichment from agriculture enhances it — with implications for stream ecosystem services assessments under multiple stressor scenarios.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