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8AED7" w14:textId="77777777" w:rsidR="00591412" w:rsidRDefault="00591412">
      <w:pPr>
        <w:spacing w:after="80"/>
      </w:pPr>
    </w:p>
    <w:p w14:paraId="597823D4" w14:textId="77777777" w:rsidR="00591412" w:rsidRDefault="00591412">
      <w:pPr>
        <w:spacing w:after="80"/>
      </w:pPr>
    </w:p>
    <w:p w14:paraId="71035EEB" w14:textId="77777777" w:rsidR="00591412" w:rsidRDefault="00591412">
      <w:pPr>
        <w:spacing w:after="80"/>
      </w:pPr>
    </w:p>
    <w:p w14:paraId="295D600C" w14:textId="77777777" w:rsidR="00591412" w:rsidRDefault="00000000">
      <w:pPr>
        <w:spacing w:after="240"/>
        <w:jc w:val="center"/>
      </w:pPr>
      <w:r>
        <w:rPr>
          <w:b/>
          <w:bCs/>
          <w:caps/>
          <w:sz w:val="28"/>
          <w:szCs w:val="28"/>
        </w:rPr>
        <w:t>UNIVERSITY OF DUISBURG-ESSEN</w:t>
      </w:r>
    </w:p>
    <w:p w14:paraId="7E3A7DCE" w14:textId="77777777" w:rsidR="00591412" w:rsidRDefault="00000000">
      <w:pPr>
        <w:spacing w:after="120"/>
        <w:jc w:val="center"/>
      </w:pPr>
      <w:r>
        <w:t>Faculty of Biology | Department of Ecotoxicology and Environmental Chemistry</w:t>
      </w:r>
    </w:p>
    <w:p w14:paraId="24F932B0" w14:textId="77777777" w:rsidR="00591412" w:rsidRDefault="00591412">
      <w:pPr>
        <w:spacing w:after="80"/>
      </w:pPr>
    </w:p>
    <w:p w14:paraId="071A3E2B" w14:textId="77777777" w:rsidR="00591412" w:rsidRDefault="00591412">
      <w:pPr>
        <w:spacing w:after="80"/>
      </w:pPr>
    </w:p>
    <w:p w14:paraId="14CF9BE4" w14:textId="77777777" w:rsidR="00591412" w:rsidRDefault="00000000">
      <w:pPr>
        <w:spacing w:after="120"/>
        <w:jc w:val="center"/>
      </w:pPr>
      <w:r>
        <w:rPr>
          <w:b/>
          <w:bCs/>
          <w:caps/>
          <w:sz w:val="32"/>
          <w:szCs w:val="32"/>
        </w:rPr>
        <w:t>MASTER'S THESIS</w:t>
      </w:r>
    </w:p>
    <w:p w14:paraId="7B9C2A01" w14:textId="77777777" w:rsidR="00591412" w:rsidRDefault="00591412">
      <w:pPr>
        <w:spacing w:after="80"/>
      </w:pPr>
    </w:p>
    <w:p w14:paraId="310460B3" w14:textId="77777777" w:rsidR="00591412" w:rsidRDefault="00000000">
      <w:pPr>
        <w:spacing w:after="240"/>
        <w:jc w:val="center"/>
      </w:pPr>
      <w:r>
        <w:rPr>
          <w:b/>
          <w:bCs/>
          <w:sz w:val="28"/>
          <w:szCs w:val="28"/>
        </w:rPr>
        <w:t>Leaf Decomposition Across Multiple Stressor Gradients: A Comparative Study of the Boye and Kinzig Catchments, Germany</w:t>
      </w:r>
    </w:p>
    <w:p w14:paraId="0FFE81EE" w14:textId="77777777" w:rsidR="00591412" w:rsidRDefault="00591412">
      <w:pPr>
        <w:spacing w:after="80"/>
      </w:pPr>
    </w:p>
    <w:p w14:paraId="31CB4534" w14:textId="77777777" w:rsidR="00591412" w:rsidRDefault="00591412">
      <w:pPr>
        <w:spacing w:after="80"/>
      </w:pPr>
    </w:p>
    <w:p w14:paraId="5E2AA924" w14:textId="77777777" w:rsidR="00591412" w:rsidRDefault="00000000">
      <w:pPr>
        <w:spacing w:after="120"/>
        <w:jc w:val="center"/>
      </w:pPr>
      <w:r>
        <w:t>Submitted by:</w:t>
      </w:r>
    </w:p>
    <w:p w14:paraId="25A7AE56" w14:textId="77777777" w:rsidR="00591412" w:rsidRDefault="00000000">
      <w:pPr>
        <w:spacing w:after="120"/>
        <w:jc w:val="center"/>
      </w:pPr>
      <w:r>
        <w:rPr>
          <w:b/>
          <w:bCs/>
          <w:sz w:val="26"/>
          <w:szCs w:val="26"/>
        </w:rPr>
        <w:t>Ikenna Stephen Agube</w:t>
      </w:r>
    </w:p>
    <w:p w14:paraId="2CD7CE11" w14:textId="77777777" w:rsidR="00591412" w:rsidRDefault="00591412">
      <w:pPr>
        <w:spacing w:after="80"/>
      </w:pPr>
    </w:p>
    <w:p w14:paraId="6E093E2F" w14:textId="77777777" w:rsidR="00591412" w:rsidRDefault="00000000">
      <w:pPr>
        <w:spacing w:after="120"/>
        <w:jc w:val="center"/>
      </w:pPr>
      <w:r>
        <w:t>Supervisor: Dr. Verena C. Schreiner</w:t>
      </w:r>
    </w:p>
    <w:p w14:paraId="73A3935F" w14:textId="205CADBB" w:rsidR="00591412" w:rsidRDefault="00000000">
      <w:pPr>
        <w:spacing w:after="120"/>
        <w:jc w:val="center"/>
      </w:pPr>
      <w:r>
        <w:t xml:space="preserve">Department of Ecotoxicology </w:t>
      </w:r>
    </w:p>
    <w:p w14:paraId="65599EEB" w14:textId="77777777" w:rsidR="00591412" w:rsidRDefault="00000000">
      <w:pPr>
        <w:spacing w:after="120"/>
        <w:jc w:val="center"/>
      </w:pPr>
      <w:r>
        <w:t>University of Duisburg-Essen</w:t>
      </w:r>
    </w:p>
    <w:p w14:paraId="3A327D81" w14:textId="77777777" w:rsidR="00591412" w:rsidRDefault="00591412">
      <w:pPr>
        <w:spacing w:after="80"/>
      </w:pPr>
    </w:p>
    <w:p w14:paraId="3E05996D" w14:textId="77777777" w:rsidR="00591412" w:rsidRDefault="00591412">
      <w:pPr>
        <w:spacing w:after="80"/>
      </w:pPr>
    </w:p>
    <w:p w14:paraId="77DBC316" w14:textId="7B1C9F4B" w:rsidR="00591412" w:rsidRDefault="00000000">
      <w:pPr>
        <w:spacing w:after="120"/>
        <w:jc w:val="center"/>
      </w:pPr>
      <w:r>
        <w:t>March 2025</w:t>
      </w:r>
      <w:r w:rsidR="0013389C">
        <w:t xml:space="preserve"> RESIST </w:t>
      </w:r>
      <w:r>
        <w:t xml:space="preserve">Field </w:t>
      </w:r>
      <w:r w:rsidR="0013389C">
        <w:t>Study</w:t>
      </w:r>
    </w:p>
    <w:p w14:paraId="44D810B0" w14:textId="77777777" w:rsidR="00591412" w:rsidRDefault="00000000">
      <w:r>
        <w:br w:type="page"/>
      </w:r>
    </w:p>
    <w:p w14:paraId="300506C8" w14:textId="77777777" w:rsidR="00591412" w:rsidRDefault="00000000">
      <w:pPr>
        <w:pStyle w:val="Heading1"/>
      </w:pPr>
      <w:r>
        <w:rPr>
          <w:sz w:val="28"/>
          <w:szCs w:val="28"/>
        </w:rPr>
        <w:t>1. INTRODUCTION</w:t>
      </w:r>
    </w:p>
    <w:p w14:paraId="4BE1EE23" w14:textId="77777777" w:rsidR="00591412" w:rsidRDefault="00000000">
      <w:pPr>
        <w:pStyle w:val="Heading2"/>
      </w:pPr>
      <w:r>
        <w:rPr>
          <w:sz w:val="24"/>
          <w:szCs w:val="24"/>
        </w:rPr>
        <w:t>1.1 Stream Ecosystems and Organic Matter Processing</w:t>
      </w:r>
    </w:p>
    <w:p w14:paraId="3579997F" w14:textId="77777777" w:rsidR="00591412" w:rsidRDefault="00000000">
      <w:pPr>
        <w:spacing w:after="160" w:line="360" w:lineRule="auto"/>
        <w:ind w:firstLine="720"/>
        <w:jc w:val="both"/>
      </w:pPr>
      <w:r>
        <w:t>Running water ecosystems occupy a disproportionately important role in the global cycling of carbon and nutrients relative to their physical extent. Streams and rivers cover less than one percent of the Earth's surface yet are responsible for transporting, transforming, and mineralising vast quantities of organic matter derived from the terrestrial landscapes they drain (Cole et al., 2007; Raymond et al., 2013). Within headwater and mid-order streams, allochthonous organic matter, material produced outside the channel and imported from the riparian and catchment zones, constitutes the primary basal energy source for in-stream food webs (Wallace et al., 1997; Vannote et al., 1980). The processing of this material drives nutrient spiralling, supports invertebrate productivity, and sustains the trophic structure of lotic communities from headwaters to lowland reaches.</w:t>
      </w:r>
    </w:p>
    <w:p w14:paraId="15025C61" w14:textId="77777777" w:rsidR="00591412" w:rsidRDefault="00000000">
      <w:pPr>
        <w:spacing w:after="160" w:line="360" w:lineRule="auto"/>
        <w:ind w:firstLine="720"/>
        <w:jc w:val="both"/>
      </w:pPr>
      <w:r>
        <w:t>Among the various inputs of allochthonous material, leaf litter shed from riparian vegetation occupies the central position in the energy budgets of shaded, forested headwater streams (Fisher &amp; Likens, 1973; Webster &amp; Benfield, 1986). The progressive breakdown of leaf litter, from intact leaf blades to fine particulate organic matter (FPOM) and ultimately dissolved organic carbon, is mediated through a sequence of overlapping processes: physical fragmentation by water currents, leaching of soluble compounds, microbial conditioning by aquatic hyphomycetes and bacteria, and mechanical shredding by macroinvertebrate detritivores (Gessner et al., 1999; Chauvet et al., 2016; Bärlocher, 1985). The rate at which this sequence proceeds is exquisitely sensitive to the biological integrity and physicochemical conditions of the stream, which makes leaf litter decomposition one of the most responsive and ecologically informative indicators of stream ecosystem function.</w:t>
      </w:r>
    </w:p>
    <w:p w14:paraId="169EB468" w14:textId="77777777" w:rsidR="00591412" w:rsidRDefault="00000000">
      <w:pPr>
        <w:spacing w:after="160" w:line="360" w:lineRule="auto"/>
        <w:ind w:firstLine="720"/>
        <w:jc w:val="both"/>
      </w:pPr>
      <w:r>
        <w:t>The concept of using decomposition rates as a bioassessment tool was formalised most clearly by Gessner and Chauvet (2002), who demonstrated through empirical and theoretical analysis that decomposition rates are tightly linked to stream ecological integrity, both as measured by conventional biological metrics and by water chemistry. Subsequent work embedded this approach within the broader literature on ecosystem functioning, establishing decomposition as a 'functional' rather than purely 'structural' endpoint, one that integrates the cumulative effects of multiple stressors on biological communities and their ecological roles (Young et al., 2008; Mesquita et al., 2019; Bunzel et al., 2014). Against this background, the present thesis employs leaf litter decomposition as its primary response variable to investigate the combined effects of land use, water chemistry, substrate characteristics, and macroinvertebrate community structure on stream ecosystem functioning across two contrasting German catchments: the Boye and the Kinzig.</w:t>
      </w:r>
    </w:p>
    <w:p w14:paraId="617BB1FA" w14:textId="77777777" w:rsidR="00591412" w:rsidRDefault="00000000">
      <w:pPr>
        <w:pStyle w:val="Heading2"/>
      </w:pPr>
      <w:r>
        <w:rPr>
          <w:sz w:val="24"/>
          <w:szCs w:val="24"/>
        </w:rPr>
        <w:t>1.2 The Decomposition Process: Microbial and Macroinvertebrate Pathways</w:t>
      </w:r>
    </w:p>
    <w:p w14:paraId="6167A680" w14:textId="77777777" w:rsidR="00591412" w:rsidRDefault="00000000">
      <w:pPr>
        <w:spacing w:after="160" w:line="360" w:lineRule="auto"/>
        <w:ind w:firstLine="720"/>
        <w:jc w:val="both"/>
      </w:pPr>
      <w:r>
        <w:t>Leaf decomposition in streams proceeds through two functionally distinct but interacting pathways: a microbial pathway dominated by aquatic hyphomycetes and bacteria, and a macroinvertebrate pathway dominated by shredding invertebrates that consume conditioned leaf material (Graça, 2001; Gessner et al., 1999). These two pathways can be isolated experimentally by deploying leaf bags of different mesh sizes: fine-mesh bags (approximately 500 micrometres) exclude macroinvertebrate shredders while permitting microbial colonisation and associated mass loss, whereas coarse-mesh bags (typically 5–10 mm) allow full access by both microbial decomposers and shredding invertebrates (Bärlocher, 2005; Schreiner et al., 2023). Total decomposition is accordingly measured in coarse-mesh bags, and macroinvertebrate-mediated decomposition is estimated as the difference in mass loss between coarse and fine bags at the same site.</w:t>
      </w:r>
    </w:p>
    <w:p w14:paraId="606B5ECE" w14:textId="77777777" w:rsidR="00591412" w:rsidRDefault="00000000">
      <w:pPr>
        <w:spacing w:after="160" w:line="360" w:lineRule="auto"/>
        <w:ind w:firstLine="720"/>
        <w:jc w:val="both"/>
      </w:pPr>
      <w:r>
        <w:t>Aquatic hyphomycetes are the primary microbial agents of leaf conditioning in streams (Bärlocher, 1985; Gessner &amp; Chauvet, 1994). These conidia-producing fungi colonise submerged leaves within hours to days of submersion, forming mycelial networks that penetrate the leaf matrix, secrete extracellular enzymes including cellulases, laccases, and peroxidases, and soften the leaf tissue to render it palatable and nutritionally enriched for invertebrate consumers (Gessner et al., 1993; Sridhar &amp; Bärlocher, 2000). Bacterial communities also contribute to conditioning, particularly in streams where fungal biomass is suppressed by stressors such as metals or pesticides (Duarte et al., 2008; Batzer &amp; Sharitz, 2006). Fungal biomass, typically estimated as ergosterol content of leaf disks, integrates cumulative colonisation effort and is a sensitive indicator of sub-lethal metal stress in aquatic hyphomycetes (Gessner &amp; Chauvet, 1994; Duarte et al., 2008).</w:t>
      </w:r>
    </w:p>
    <w:p w14:paraId="1220EAAB" w14:textId="77777777" w:rsidR="00591412" w:rsidRDefault="00000000">
      <w:pPr>
        <w:spacing w:after="160" w:line="360" w:lineRule="auto"/>
        <w:ind w:firstLine="720"/>
        <w:jc w:val="both"/>
      </w:pPr>
      <w:r>
        <w:t>Macroinvertebrate shredders, a functional feeding group (FFG) comprising taxa in the orders Plecoptera, Trichoptera, Amphipoda, Isopoda, and Diptera, among others, consume conditioned leaf material directly and fragment it into FPOM that supports filter-feeding and collecting invertebrate taxa downstream (Graça et al., 2001; Cummins, 1974). The contribution of shredders to total decomposition rates can vary enormously across sites and seasons, from negligible in highly disturbed urban streams with depleted shredder communities to constituting the majority of mass loss in clean, well-forested headwaters (Brauns et al., 2022; Hines &amp; Feminella, 2006). Gammarus spp. (Amphipoda) are among the most functionally important shredders in Central European streams: they occur across a broad range of water quality conditions, are often numerically dominant in coarse-mesh bags retrieved from field sites, and have been used as bioindicators of both chemical stress and habitat quality (Schäfer et al., 2007; Navel et al., 2011).</w:t>
      </w:r>
    </w:p>
    <w:p w14:paraId="13D74FD5" w14:textId="77777777" w:rsidR="00591412" w:rsidRDefault="00000000">
      <w:pPr>
        <w:spacing w:after="160" w:line="360" w:lineRule="auto"/>
        <w:ind w:firstLine="720"/>
        <w:jc w:val="both"/>
      </w:pPr>
      <w:r>
        <w:t>The macroinvertebrate-mediated component of decomposition is particularly sensitive to habitat quality, because shredders require three conditions to be met simultaneously: adequate leaf litter supply from riparian vegetation, suitable physical microhabitats (riffles, hyporheic refugia, woody debris) for refuge and oviposition, and water quality parameters within their physiological tolerance ranges (Lecerf &amp; Richardson, 2010; Paul &amp; Meyer, 2001). Urban and industrial streams frequently fail to meet one or more of these conditions simultaneously, explaining why macroinvertebrate-mediated decomposition is typically more strongly suppressed in impaired streams than microbial decomposition, which can persist under moderate stress (Ferreira et al., 2016; Brauns et al., 2022). These contrasting sensitivities of the two decomposition pathways provide a valuable diagnostic tool for attributing functional impairment to specific types of disturbance.</w:t>
      </w:r>
    </w:p>
    <w:p w14:paraId="461E4A36" w14:textId="77777777" w:rsidR="00591412" w:rsidRDefault="00000000">
      <w:pPr>
        <w:pStyle w:val="Heading2"/>
      </w:pPr>
      <w:r>
        <w:rPr>
          <w:sz w:val="24"/>
          <w:szCs w:val="24"/>
        </w:rPr>
        <w:t>1.3 Environmental Drivers of Decomposition: Multiple Stressors in Stream Networks</w:t>
      </w:r>
    </w:p>
    <w:p w14:paraId="1311DD6D" w14:textId="77777777" w:rsidR="00591412" w:rsidRDefault="00000000">
      <w:pPr>
        <w:spacing w:after="160" w:line="360" w:lineRule="auto"/>
        <w:ind w:firstLine="720"/>
        <w:jc w:val="both"/>
      </w:pPr>
      <w:r>
        <w:t>Stream ecosystems are rarely subject to single, isolated stressors. In human-altered landscapes, watercourses simultaneously receive inputs from agricultural runoff, urban stormwater, industrial effluents, and wastewater treatment plant (WWTP) discharges, creating complex multi-stressor environments whose combined effects on biological communities and ecosystem processes are often non-additive (Nõges et al., 2016; Crain et al., 2008; Medina Madariaga et al., 2024). Understanding which specific stressors most strongly limit decomposition, and whether their effects are consistent across different catchment types, is a central challenge in applied stream ecology and a key motivation for the present study.</w:t>
      </w:r>
    </w:p>
    <w:p w14:paraId="2F684FFA" w14:textId="77777777" w:rsidR="00591412" w:rsidRDefault="00000000">
      <w:pPr>
        <w:spacing w:after="160" w:line="360" w:lineRule="auto"/>
        <w:ind w:firstLine="720"/>
        <w:jc w:val="both"/>
      </w:pPr>
      <w:r>
        <w:t>Among the stressors examined in this thesis, land use composition of the upstream catchment has emerged in multiple studies as one of the most integrative predictors of stream condition and ecological functioning (Schreiner et al., 2023; Bunzel et al., 2014; Voss et al., 2015). Agricultural land use in the catchment is associated with elevated nutrient concentrations (nitrogen and phosphorus), increased fine sediment loading, and the presence of pesticides in stream water, all of which can influence decomposition through distinct biological pathways (Carpenter et al., 1998; Lecerf &amp; Chauvet, 2008). Urban and industrial land use, by contrast, is associated with hydrological flashiness, elevated conductivity, trace metal contamination, organic micropollutants, and physical channel modification, the syndrome termed 'urban stream syndrome' by Walsh et al. (2005), which collectively degrade both the physical habitat and the chemical environment of urban watercourses.</w:t>
      </w:r>
    </w:p>
    <w:p w14:paraId="4FD0F832" w14:textId="77777777" w:rsidR="00591412" w:rsidRDefault="00000000">
      <w:pPr>
        <w:pStyle w:val="Heading3"/>
      </w:pPr>
      <w:r>
        <w:rPr>
          <w:sz w:val="22"/>
          <w:szCs w:val="22"/>
        </w:rPr>
        <w:t>1.3.1 Nutrients and Agricultural Stressors</w:t>
      </w:r>
    </w:p>
    <w:p w14:paraId="1ECE6FDB" w14:textId="77777777" w:rsidR="00591412" w:rsidRDefault="00000000">
      <w:pPr>
        <w:spacing w:after="160" w:line="360" w:lineRule="auto"/>
        <w:ind w:firstLine="720"/>
        <w:jc w:val="both"/>
      </w:pPr>
      <w:r>
        <w:t>Agricultural drainage enriches receiving streams with inorganic nitrogen (predominantly nitrate, NO3-N) and phosphorus (orthophosphate, PO4-P), which stimulate the growth of microbial decomposers, particularly aquatic hyphomycetes, by relieving nutrient limitation of fungal growth on nutrient-poor leaf substrates (Gulis &amp; Suberkropp, 2003; Robinson &amp; Gessner, 2000). Both nitrate and ammonium additions to experimental streams have been shown to increase fungal sporulation rates, ergosterol concentrations, and leaf mass loss in fine-mesh bags, confirming that nutrient enrichment can accelerate microbial leaf decomposition under conditions of moderate nitrogen or phosphorus limitation (Suberkropp &amp; Chauvet, 1995; Gulis &amp; Suberkropp, 2003). However, extreme nutrient concentrations associated with intensive agricultural catchments can also indirectly suppress decomposer communities by stimulating algal growth, reducing light penetration, and altering dissolved oxygen regimes in ways that disfavour aerobic decomposition (Biggs, 1996).</w:t>
      </w:r>
    </w:p>
    <w:p w14:paraId="70A5E84B" w14:textId="77777777" w:rsidR="00591412" w:rsidRDefault="00000000">
      <w:pPr>
        <w:spacing w:after="160" w:line="360" w:lineRule="auto"/>
        <w:ind w:firstLine="720"/>
        <w:jc w:val="both"/>
      </w:pPr>
      <w:r>
        <w:t>The relationship between agricultural land use and macroinvertebrate-mediated decomposition is more complex, because agricultural streams are often characterised by degraded physical habitat (straightened, de-vegetated channels), elevated fine sediment deposition, and exposure to pesticides that selectively reduce shredder populations (Liess et al., 2021; Schreiner et al., 2023). The net effect of agricultural land use on total decomposition therefore depends on the balance between nutrient stimulation of microbial activity and habitat or toxicity constraints on shredder communities, a balance that may shift across seasons and across different intensities and types of agricultural activity.</w:t>
      </w:r>
    </w:p>
    <w:p w14:paraId="27CD66E1" w14:textId="77777777" w:rsidR="00591412" w:rsidRDefault="00000000">
      <w:pPr>
        <w:pStyle w:val="Heading3"/>
      </w:pPr>
      <w:r>
        <w:rPr>
          <w:sz w:val="22"/>
          <w:szCs w:val="22"/>
        </w:rPr>
        <w:t>1.3.2 Trace Metals and Industrial Stressors</w:t>
      </w:r>
    </w:p>
    <w:p w14:paraId="0DF0934B" w14:textId="77777777" w:rsidR="00591412" w:rsidRDefault="00000000">
      <w:pPr>
        <w:spacing w:after="160" w:line="360" w:lineRule="auto"/>
        <w:ind w:firstLine="720"/>
        <w:jc w:val="both"/>
      </w:pPr>
      <w:r>
        <w:t>Trace metals, including cadmium (Cd), copper (Cu), iron (Fe), nickel (Ni), lead (Pb), and zinc (Zn), are persistent and often elevated contaminants in urban and industrial stream catchments (Ferreira et al., 2016; Bundschuh et al., 2021). Aquatic hyphomycetes exhibit dose-dependent sensitivity to multiple trace metals, with effects ranging from reduced sporulation rates and mycelial growth at sub-lethal concentrations to complete fungal biomass suppression at higher concentrations (Duarte et al., 2008; Maharning &amp; Bärlocher, 1996). Among individual metals, copper is particularly toxic to aquatic fungi owing to its high affinity for thiol groups in fungal enzymes, while cadmium, nickel, and zinc also show pronounced inhibitory effects at environmentally relevant concentrations in contaminated stream water (Duarte et al., 2008; Fernández et al., 2015).</w:t>
      </w:r>
    </w:p>
    <w:p w14:paraId="614F57A5" w14:textId="77777777" w:rsidR="00591412" w:rsidRDefault="00000000">
      <w:pPr>
        <w:spacing w:after="160" w:line="360" w:lineRule="auto"/>
        <w:ind w:firstLine="720"/>
        <w:jc w:val="both"/>
      </w:pPr>
      <w:r>
        <w:t>Assessments of metal toxicity in multi-metal environments benefit from the application of the toxic unit (TU) concept, which relates the measured concentration of each metal to the known concentration causing 50% inhibition of the target organism (EC50), and sums across metals to express cumulative toxicity (Feyen et al., 2022; Schäfer et al., 2012). This approach accounts for the fact that individual metals present at sub-threshold concentrations can produce additive or synergistic toxic effects in combination, and provides a biologically meaningful index that is superior to the simple summing of metal concentrations (Posthuma et al., 2002). For the microbial decomposer community, toxic unit calculations based on fungal EC50 values from literature allow a mechanistically grounded prediction of which sites are likely to exhibit impaired microbial decomposition due to metal contamination.</w:t>
      </w:r>
    </w:p>
    <w:p w14:paraId="3BE24602" w14:textId="77777777" w:rsidR="00591412" w:rsidRDefault="00000000">
      <w:pPr>
        <w:spacing w:after="160" w:line="360" w:lineRule="auto"/>
        <w:ind w:firstLine="720"/>
        <w:jc w:val="both"/>
      </w:pPr>
      <w:r>
        <w:t>The Boye catchment, studied in this thesis, represents a stream network strongly shaped by a legacy of urban-industrial land use in the Ruhr region of North Rhine-Westphalia. Its tributaries drain densely populated areas with historical coal mining, coking plant, and smelting activities, resulting in persistent trace metal enrichment in both water and sediment. Field measurements during the March 2025 campaign recorded conductivity values ranging from approximately 430 to 865 µS/cm across 23 sampling sites, with detectable concentrations of Cd, Cu, Fe, Ni, Pb, and Zn in stream water, confirming the multi-metal character of the catchment's chemical environment. Against this background, metal-mediated inhibition of microbial decomposers is hypothesised to be a primary limitation on microbial leaf decomposition in the Boye.</w:t>
      </w:r>
    </w:p>
    <w:p w14:paraId="72A4983C" w14:textId="77777777" w:rsidR="00591412" w:rsidRDefault="00000000">
      <w:pPr>
        <w:pStyle w:val="Heading3"/>
      </w:pPr>
      <w:r>
        <w:rPr>
          <w:sz w:val="22"/>
          <w:szCs w:val="22"/>
        </w:rPr>
        <w:t>1.3.3 Physical Habitat and Substrate</w:t>
      </w:r>
    </w:p>
    <w:p w14:paraId="2F712A03" w14:textId="77777777" w:rsidR="00591412" w:rsidRDefault="00000000">
      <w:pPr>
        <w:spacing w:after="160" w:line="360" w:lineRule="auto"/>
        <w:ind w:firstLine="720"/>
        <w:jc w:val="both"/>
      </w:pPr>
      <w:r>
        <w:t>Physical habitat structure modulates leaf litter decomposition through multiple mechanisms. Flow velocity directly determines the oxygen and nutrient supply to microbial biofilms on leaf surfaces, and higher flow promotes aerobic fungal metabolism and enzyme delivery, accelerating microbial decomposition (Ferreira &amp; Graça, 2006; Schreiner et al., 2023). Streambed substrate composition influences leaf retention time: leaf material deposited on coarse substrates (macrolittoral, mesolithic, acalcareous gravel) retains structural integrity and provides stable attachment surfaces for invertebrate shredders, while leaf material buried under fine particulate organic matter (FPOM) or sand (psammal) may be subject to anaerobic conditions that suppress aerobic decomposers and simultaneously restrict macroinvertebrate access to the leaf substrate (Lepori et al., 2005; Pascoal &amp; Cássio, 2004).</w:t>
      </w:r>
    </w:p>
    <w:p w14:paraId="23658471" w14:textId="77777777" w:rsidR="00591412" w:rsidRDefault="00000000">
      <w:pPr>
        <w:spacing w:after="160" w:line="360" w:lineRule="auto"/>
        <w:ind w:firstLine="720"/>
        <w:jc w:val="both"/>
      </w:pPr>
      <w:r>
        <w:t>In the Boye catchment, field observations during deployment and retrieval indicated that many sites were characterised by low flow velocities and substantial accumulation of fine-grained material, sand and fine organic matter, on the streambed. Substrate estimation at Boye sites confirmed high psammal (sand) percentages at the majority of sites, reflecting the legacy of historical channel straightening and loss of natural geomorphic complexity. This fine-substrate dominance is expected to suppress macroinvertebrate-mediated decomposition through leaf burial and reduced shredder access, while potentially enhancing microbial decomposition by maximising the contact time between leaf material and the surrounding water column (Pascoal &amp; Cássio, 2004).</w:t>
      </w:r>
    </w:p>
    <w:p w14:paraId="0896A43E" w14:textId="77777777" w:rsidR="00591412" w:rsidRDefault="00000000">
      <w:pPr>
        <w:spacing w:after="160" w:line="360" w:lineRule="auto"/>
        <w:ind w:firstLine="720"/>
        <w:jc w:val="both"/>
      </w:pPr>
      <w:r>
        <w:t>In contrast, the Kinzig catchment, a predominantly rural to semi-rural stream network in the Spessart region of Hesse, retains greater geomorphic heterogeneity at many sites, with coarse particulate organic matter (CPOM) constituting a notable fraction of the streambed substrate at several rural sampling locations. The availability of CPOM supports more abundant and diverse shredder communities, because coarse woody and leaf material provides both food and habitat for key detritivore taxa including Gammarus spp. and Trichoptera larvae (Graça et al., 2001; Hines &amp; Feminella, 2006). Greater CPOM availability is therefore expected to translate into higher macroinvertebrate-mediated decomposition rates in the Kinzig relative to sites with predominantly fine substrates.</w:t>
      </w:r>
    </w:p>
    <w:p w14:paraId="1627930D" w14:textId="77777777" w:rsidR="00591412" w:rsidRDefault="00000000">
      <w:pPr>
        <w:pStyle w:val="Heading2"/>
      </w:pPr>
      <w:r>
        <w:rPr>
          <w:sz w:val="24"/>
          <w:szCs w:val="24"/>
        </w:rPr>
        <w:t>1.4 Standardised Decomposition Assays and the Case for Natural Leaf Litter</w:t>
      </w:r>
    </w:p>
    <w:p w14:paraId="074119DD" w14:textId="77777777" w:rsidR="00591412" w:rsidRDefault="00000000">
      <w:pPr>
        <w:spacing w:after="160" w:line="360" w:lineRule="auto"/>
        <w:ind w:firstLine="720"/>
        <w:jc w:val="both"/>
      </w:pPr>
      <w:r>
        <w:t>Multiple substrate types have been employed in lotic decomposition research, ranging from naturally shed alder (Alnus glutinosa) and beech (Fagus sylvatica) leaves to standardised artificial substrates including cotton strips and cellulose tablets (decotabs). Each substrate type responds to different suites of environmental drivers, and the choice of substrate fundamentally shapes the ecological interpretation of decomposition results. Schreiner et al. (2023) demonstrated, across 70 German streams spanning a broad land use gradient, that natural alder leaves and standardised substrates (cotton strips and decotabs) respond to largely non-overlapping sets of environmental predictors, with weak to negligible correlations between decomposition rates measured with different substrate types. Natural leaf mass loss was most strongly associated with shredder abundance, nutrients, and flow, while cotton strip decomposition responded primarily to physicochemical variables and pesticide toxicity.</w:t>
      </w:r>
    </w:p>
    <w:p w14:paraId="6789F957" w14:textId="77777777" w:rsidR="00591412" w:rsidRDefault="00000000">
      <w:pPr>
        <w:spacing w:after="160" w:line="360" w:lineRule="auto"/>
        <w:ind w:firstLine="720"/>
        <w:jc w:val="both"/>
      </w:pPr>
      <w:r>
        <w:t>These findings directly justify the exclusive use of natural alder leaves in the present study. Alder (Alnus glutinosa) is the standard species for leaf decomposition bioassays across Central European streams: it produces annually large quantities of leaf litter that are rapidly colonised by aquatic hyphomycetes, its decomposition rate spans a biologically relevant range across stream conditions, and its response to environmental gradients is well documented in the literature (Gessner et al., 1999; Schreiner et al., 2023; Lecerf &amp; Richardson, 2010). Critically, the use of natural leaf litter ensures that the measured decomposition rates reflect the actual ecological fate of organic matter entering the stream, a direct measure of ecosystem function, rather than a proxy response driven by different chemical or physical properties of a surrogate substrate.</w:t>
      </w:r>
    </w:p>
    <w:p w14:paraId="332F7871" w14:textId="77777777" w:rsidR="00591412" w:rsidRDefault="00000000">
      <w:pPr>
        <w:spacing w:after="160" w:line="360" w:lineRule="auto"/>
        <w:ind w:firstLine="720"/>
        <w:jc w:val="both"/>
      </w:pPr>
      <w:r>
        <w:t>The response variable adopted in this study is the Decomposed Substrate Mass (DSM), defined as the percentage of ash-free dry mass (AFDM) lost per degree-day of incubation. This metric normalises decomposition rates by temperature and exposure duration simultaneously, removing the confounding effects of temperature differences between sites and sampling occasions, and enabling direct comparison of decomposition rates across sites with different water temperatures and slightly different deployment periods (Schreiner et al., 2023). The degree-day normalisation follows the rationale that microbial enzyme kinetics and invertebrate metabolic rates are governed by ambient temperature, and that the biological work accomplished per unit of calendar time scales with the accumulated thermal energy experienced by the decomposer community.</w:t>
      </w:r>
    </w:p>
    <w:p w14:paraId="3F2C47DD" w14:textId="77777777" w:rsidR="00591412" w:rsidRDefault="00000000">
      <w:pPr>
        <w:pStyle w:val="Heading2"/>
      </w:pPr>
      <w:r>
        <w:rPr>
          <w:sz w:val="24"/>
          <w:szCs w:val="24"/>
        </w:rPr>
        <w:t>1.5 Study Context: The RESIST Field Project and Its Catchments</w:t>
      </w:r>
    </w:p>
    <w:p w14:paraId="20CDC7B2" w14:textId="77777777" w:rsidR="00591412" w:rsidRDefault="00000000">
      <w:pPr>
        <w:spacing w:after="160" w:line="360" w:lineRule="auto"/>
        <w:ind w:firstLine="720"/>
        <w:jc w:val="both"/>
      </w:pPr>
      <w:r>
        <w:t>This thesis was conducted within the framework of the RESIST (Restored Stream Ecosystems under multiple Stressors) research programme, a collaborative project of the University of Duisburg-Essen investigating how multiple stressors interact to shape stream ecosystem functioning across a range of restored and impacted catchments in Germany. The RESIST programme deploys a multi-substrate, multi-metric approach to link variation in biological diversity and ecosystem processes to physicochemical stressors, land use, and hydromorphological condition at the catchment scale (Schreiner et al., 2023; Link et al., 2017). The March 2025 field campaign, on which this thesis is based, extended the scope of earlier RESIST studies by deploying leaf bag assays across 23 sites in the Boye catchment and 21 sites in the Kinzig catchment simultaneously, providing the first comparative dataset linking decomposition rates to environmental drivers across two catchments with fundamentally contrasting land use and pollution histories.</w:t>
      </w:r>
    </w:p>
    <w:p w14:paraId="1172CC69" w14:textId="77777777" w:rsidR="00591412" w:rsidRDefault="00000000">
      <w:pPr>
        <w:spacing w:after="160" w:line="360" w:lineRule="auto"/>
        <w:ind w:firstLine="720"/>
        <w:jc w:val="both"/>
      </w:pPr>
      <w:r>
        <w:t>The present study builds directly on an earlier internship investigation (Agube, 2025) in which the author examined microbial and total leaf decomposition in paired urban and rural stream sites of the Kinzig catchment during the summer 2025 season. That initial study demonstrated that macroinvertebrate-mediated decomposition tended to be suppressed in urban reaches relative to rural reaches, consistent with a land use gradient, while microbial decomposition rates showed greater functional stability across the rural-urban contrast. The internship findings, however, were limited in their power by a restricted spatial scale and the absence of trace metal data. The master's thesis reported here extends this work in three important respects: (1) it integrates data from the Boye catchment, a heavily industrialised system where trace metal contamination constitutes a principal stressor, permitting a genuine cross-catchment comparison; (2) it incorporates the full suite of physicochemical, substrate, land use, and macroinvertebrate variables measured during the March 2025 campaign; and (3) it applies a formal variable selection framework, stability selection using LASSO regression, to identify robust environmental drivers of decomposition across a substantially larger number of sites.</w:t>
      </w:r>
    </w:p>
    <w:p w14:paraId="7C189C53" w14:textId="77777777" w:rsidR="00591412" w:rsidRDefault="00000000">
      <w:pPr>
        <w:pStyle w:val="Heading2"/>
      </w:pPr>
      <w:r>
        <w:rPr>
          <w:sz w:val="24"/>
          <w:szCs w:val="24"/>
        </w:rPr>
        <w:t>1.6 Research Objectives and Hypotheses</w:t>
      </w:r>
    </w:p>
    <w:p w14:paraId="57322798" w14:textId="77777777" w:rsidR="00591412" w:rsidRDefault="00000000">
      <w:pPr>
        <w:spacing w:after="160" w:line="360" w:lineRule="auto"/>
        <w:ind w:firstLine="720"/>
        <w:jc w:val="both"/>
      </w:pPr>
      <w:r>
        <w:t>The overarching aim of this study is to identify which environmental variables most robustly explain variation in microbial and total leaf decomposition rates across two contrasting German stream catchments, and to determine whether the direction and identity of these drivers differ between catchments with different dominant stressor profiles. Specifically, the study pursues four research objectives:</w:t>
      </w:r>
    </w:p>
    <w:p w14:paraId="3A25CD68" w14:textId="77777777" w:rsidR="00591412" w:rsidRDefault="00000000">
      <w:pPr>
        <w:spacing w:after="120" w:line="360" w:lineRule="auto"/>
        <w:ind w:left="720" w:hanging="360"/>
        <w:jc w:val="both"/>
      </w:pPr>
      <w:r>
        <w:t>(1) To quantify microbial and total leaf decomposition rates (DSM) across 23 Boye and 21 Kinzig stream sites sampled during March 2025.</w:t>
      </w:r>
    </w:p>
    <w:p w14:paraId="5745EACB" w14:textId="77777777" w:rsidR="00591412" w:rsidRDefault="00000000">
      <w:pPr>
        <w:spacing w:after="120" w:line="360" w:lineRule="auto"/>
        <w:ind w:left="720" w:hanging="360"/>
        <w:jc w:val="both"/>
      </w:pPr>
      <w:r>
        <w:t>(2) To identify the physicochemical, substrate, land use, and biological variables that most strongly and robustly predict decomposition rates in each catchment.</w:t>
      </w:r>
    </w:p>
    <w:p w14:paraId="304D49AF" w14:textId="77777777" w:rsidR="00591412" w:rsidRDefault="00000000">
      <w:pPr>
        <w:spacing w:after="120" w:line="360" w:lineRule="auto"/>
        <w:ind w:left="720" w:hanging="360"/>
        <w:jc w:val="both"/>
      </w:pPr>
      <w:r>
        <w:t>(3) To test whether trace metal contamination specifically limits microbial decomposition in the urban-industrial Boye catchment, and whether nutrient concentrations drive microbial decomposition in the predominantly agricultural Kinzig catchment.</w:t>
      </w:r>
    </w:p>
    <w:p w14:paraId="2010938C" w14:textId="77777777" w:rsidR="00591412" w:rsidRDefault="00000000">
      <w:pPr>
        <w:spacing w:after="160" w:line="360" w:lineRule="auto"/>
        <w:ind w:left="720" w:hanging="360"/>
        <w:jc w:val="both"/>
      </w:pPr>
      <w:r>
        <w:t>(4) To assess the role of streambed substrate composition, specifically fine substrate accumulation in Boye and coarse organic matter availability in Kinzig, in modulating macroinvertebrate-mediated and microbial decomposition rates.</w:t>
      </w:r>
    </w:p>
    <w:p w14:paraId="36F91496" w14:textId="77777777" w:rsidR="00591412" w:rsidRDefault="00000000">
      <w:pPr>
        <w:spacing w:after="160" w:line="360" w:lineRule="auto"/>
        <w:ind w:firstLine="720"/>
        <w:jc w:val="both"/>
      </w:pPr>
      <w:r>
        <w:t>To address these objectives, four hypotheses are tested, each grounded in the existing literature and the specific environmental context of the study catchments:</w:t>
      </w:r>
    </w:p>
    <w:p w14:paraId="0C979736" w14:textId="77777777" w:rsidR="00591412" w:rsidRDefault="00000000">
      <w:pPr>
        <w:spacing w:after="160" w:line="360" w:lineRule="auto"/>
        <w:ind w:firstLine="720"/>
        <w:jc w:val="both"/>
      </w:pPr>
      <w:r>
        <w:rPr>
          <w:color w:val="FF0000"/>
        </w:rPr>
        <w:t>H1 (General Hypothesis): A higher proportion of agricultural land use in the upstream catchment, and elevated conductivity, negatively affects leaf decomposition rates across both the Boye and Kinzig catchments. Agricultural land use has been identified as one of the strongest predictors of impaired organic matter decomposition in European streams (Schreiner et al., 2023; Bunzel et al., 2014), while conductivity, an integrative measure of dissolved ion concentration, reflects the cumulative anthropogenic alteration of stream water chemistry associated with both agricultural and industrial land uses (Bundschuh et al., 2021).</w:t>
      </w:r>
    </w:p>
    <w:p w14:paraId="2E90A87E" w14:textId="77777777" w:rsidR="00591412" w:rsidRDefault="00000000">
      <w:pPr>
        <w:spacing w:after="160" w:line="360" w:lineRule="auto"/>
        <w:ind w:firstLine="720"/>
        <w:jc w:val="both"/>
      </w:pPr>
      <w:r>
        <w:rPr>
          <w:color w:val="FF0000"/>
        </w:rPr>
        <w:t>H2 (Comparative Catchment Hypothesis): Microbial leaf decomposition is differently affected by environmental stressors across the two study catchments. In the Boye catchment, trace metal concentrations, expressed as toxic units based on fungal EC50 values, are expected to negatively affect microbial decomposition rates, given the urban-industrial character of the catchment and the documented sensitivity of aquatic hyphomycetes to metal contamination (Duarte et al., 2008; Ferreira et al., 2016). In the Kinzig catchment, nutrient concentrations, particularly nitrate (NO3) and orthophosphate (PO4), are expected to positively stimulate microbial decomposition, because agricultural drainage enriches these streams with nitrogen and phosphorus that relieve nutrient limitation of fungal decomposer communities (Gulis &amp; Suberkropp, 2003; Robinson &amp; Gessner, 2000).</w:t>
      </w:r>
    </w:p>
    <w:p w14:paraId="7E9CB440" w14:textId="77777777" w:rsidR="00591412" w:rsidRDefault="00000000">
      <w:pPr>
        <w:spacing w:after="160" w:line="360" w:lineRule="auto"/>
        <w:ind w:firstLine="720"/>
        <w:jc w:val="both"/>
      </w:pPr>
      <w:r>
        <w:rPr>
          <w:color w:val="FF0000"/>
        </w:rPr>
        <w:t>H3 (Fine Substrate Hypothesis, Boye): A higher proportion of fine substrate, including fine particulate organic matter (FPOM) and sand (psammal), negatively affects total leaf decomposition in the Boye catchment through the burial of leaf material and reduced habitat accessibility for shredding macroinvertebrates (Lepori et al., 2005). Simultaneously, fine substrate accumulation is expected to positively influence microbial decomposition by maximising leaf-water contact time and promoting anoxic conditions that may extend fungal colonisation periods (Pascoal &amp; Cássio, 2004).</w:t>
      </w:r>
    </w:p>
    <w:p w14:paraId="5CBBEA38" w14:textId="77777777" w:rsidR="00591412" w:rsidRDefault="00000000">
      <w:pPr>
        <w:spacing w:after="160" w:line="360" w:lineRule="auto"/>
        <w:ind w:firstLine="720"/>
        <w:jc w:val="both"/>
      </w:pPr>
      <w:r>
        <w:rPr>
          <w:color w:val="FF0000"/>
        </w:rPr>
        <w:t>H4 (Coarse Substrate Hypothesis, Kinzig): Greater availability of coarse particulate organic matter (CPOM) positively enhances total leaf decomposition in the Kinzig catchment by supporting a more abundant and diverse macroinvertebrate shredder community, which increases the invertebrate contribution to overall leaf mass loss beyond the microbial baseline (Graça et al., 2001).</w:t>
      </w:r>
    </w:p>
    <w:p w14:paraId="301540A2" w14:textId="77777777" w:rsidR="00591412" w:rsidRDefault="00000000">
      <w:r>
        <w:br w:type="page"/>
      </w:r>
    </w:p>
    <w:p w14:paraId="3A5D5BF9" w14:textId="77777777" w:rsidR="00591412" w:rsidRDefault="00000000">
      <w:pPr>
        <w:pStyle w:val="Heading1"/>
      </w:pPr>
      <w:r>
        <w:rPr>
          <w:sz w:val="28"/>
          <w:szCs w:val="28"/>
        </w:rPr>
        <w:t>2. MATERIALS AND METHODS</w:t>
      </w:r>
    </w:p>
    <w:p w14:paraId="2A9E201F" w14:textId="77777777" w:rsidR="00591412" w:rsidRDefault="00000000">
      <w:pPr>
        <w:pStyle w:val="Heading2"/>
      </w:pPr>
      <w:r>
        <w:rPr>
          <w:sz w:val="24"/>
          <w:szCs w:val="24"/>
        </w:rPr>
        <w:t>2.1 Study Area</w:t>
      </w:r>
    </w:p>
    <w:p w14:paraId="0F4315BD" w14:textId="77777777" w:rsidR="00591412" w:rsidRDefault="00000000">
      <w:pPr>
        <w:pStyle w:val="Heading3"/>
      </w:pPr>
      <w:r>
        <w:rPr>
          <w:sz w:val="22"/>
          <w:szCs w:val="22"/>
        </w:rPr>
        <w:t>2.1.1 Overview and Catchment Selection</w:t>
      </w:r>
    </w:p>
    <w:p w14:paraId="1BA5AA49" w14:textId="77777777" w:rsidR="00591412" w:rsidRDefault="00000000">
      <w:pPr>
        <w:spacing w:after="160" w:line="360" w:lineRule="auto"/>
        <w:ind w:firstLine="720"/>
        <w:jc w:val="both"/>
      </w:pPr>
      <w:r>
        <w:t>Two geographically and functionally contrasting catchments in western Germany were selected for this study: the Boye catchment in the Ruhr region of North Rhine-Westphalia, and the Kinzig catchment in Hesse. The selection was deliberate and hypothesis-driven: the Boye represents an urban-industrial stream network with a strong trace metal signature, while the Kinzig spans a rural-to-urban land use gradient within an agriculturally and semi-forestally managed landscape. Together, the two catchments provide a broad environmental gradient along which the contrasting effects of metal contamination, nutrient enrichment, land use, and habitat quality on leaf litter decomposition can be evaluated. The spatial locations of all sampling sites were referenced using the RESIST project catchment mapping system (RESIST Field Project, 2025).</w:t>
      </w:r>
    </w:p>
    <w:p w14:paraId="3D8275F5" w14:textId="77777777" w:rsidR="00591412" w:rsidRDefault="00000000">
      <w:pPr>
        <w:pStyle w:val="Heading3"/>
      </w:pPr>
      <w:r>
        <w:rPr>
          <w:sz w:val="22"/>
          <w:szCs w:val="22"/>
        </w:rPr>
        <w:t>2.1.2 The Boye Catchment</w:t>
      </w:r>
    </w:p>
    <w:p w14:paraId="50F3FDC3" w14:textId="77777777" w:rsidR="00591412" w:rsidRDefault="00000000">
      <w:pPr>
        <w:spacing w:after="160" w:line="360" w:lineRule="auto"/>
        <w:ind w:firstLine="720"/>
        <w:jc w:val="both"/>
      </w:pPr>
      <w:r>
        <w:t>The Boye is a small urban river system draining approximately 61 to 6,700 km² (depending on the confluence point considered) in the densely populated Ruhr metropolitan area of North Rhine-Westphalia (NRW), Germany. It flows generally westward as a tributary of the Emscher, which itself is a heavily modified, channelised river historically used as an open wastewater conduit during the industrial era (RESIST Field Project, 2025). The Boye catchment and its tributaries, including the Kirche, Haaren, Natroper Bach, Quatmann, Vorbach, Schwarzbach, Lierbach, Speckbach, Wittringer Mühlenbach, Rotbach, and Brückenbach streams sampled in this study, are characterised by dense urban and industrial land use, with peri-urban agricultural land at several smaller tributary catchments.</w:t>
      </w:r>
    </w:p>
    <w:p w14:paraId="3B5AFFCD" w14:textId="77777777" w:rsidR="00591412" w:rsidRDefault="00000000">
      <w:pPr>
        <w:spacing w:after="160" w:line="360" w:lineRule="auto"/>
        <w:ind w:firstLine="720"/>
        <w:jc w:val="both"/>
      </w:pPr>
      <w:r>
        <w:t>Land use data for the upstream catchment of each Boye sampling site, derived from the 2022 GIS land use classification, revealed a high degree of spatial heterogeneity. Agricultural land use ranged from approximately 2% in urban-dominated subcatchments (e.g., Kirche sites, KIRob: 2.02%; KIRun: 1.94%) to over 90% in the most rural upstream areas (e.g., BOYkl: 92.92%). Urban land use ranged from 0% to 97.71%, reflecting the transition from rural headwaters to heavily urbanised mid- and lower-reaches. Industrial land use was documented at several sites, reaching up to 12.37% at the Haaren subcatchment (HAAun). Importantly, the majority of the 23 Boye sites studied here have cumulative agricultural land use percentages in the range of 20–70%, with substantial urban contributions at most larger subcatchments.</w:t>
      </w:r>
    </w:p>
    <w:p w14:paraId="2D142CC5" w14:textId="77777777" w:rsidR="00591412" w:rsidRDefault="00000000">
      <w:pPr>
        <w:spacing w:after="160" w:line="360" w:lineRule="auto"/>
        <w:ind w:firstLine="720"/>
        <w:jc w:val="both"/>
      </w:pPr>
      <w:r>
        <w:t>In situ physicochemical measurements during the March 2025 field campaign revealed considerable spatial variation in water chemistry across Boye sites. Conductivity ranged from approximately 431 µS/cm at the least impacted site (BOYkl) to 865 µS/cm at one of the most urbanised sites (BOYohB224). Concentrations of trace metals, cadmium (Cd), copper (Cu), iron (Fe), nickel (Ni), lead (Pb), and zinc (Zn), were detectable at all sites, with Fe concentrations ranging from approximately 0.27 to 0.55 mg/L and Zn concentrations from 0.0015 to 0.0043 mg/L across the main Boye sites measured in March 2025. Temperature logger data from continuous probes deployed throughout the incubation period provided mean water temperatures used in DSM calculations. Average stream water temperature across Boye sites during the deployment period was approximately 4.2 to 8.4°C.</w:t>
      </w:r>
    </w:p>
    <w:p w14:paraId="7A065E79" w14:textId="77777777" w:rsidR="00591412" w:rsidRDefault="00000000">
      <w:pPr>
        <w:spacing w:after="160" w:line="360" w:lineRule="auto"/>
        <w:ind w:firstLine="720"/>
        <w:jc w:val="both"/>
      </w:pPr>
      <w:r>
        <w:t>Streambed substrate at Boye sites was assessed using the percentage cover estimation method (described in Section 2.6 below). A consistent pattern of fine substrate dominance was observed: many sites were characterised by high psammal (sand) percentages and, at forested or organic-rich sites, elevated CPOM or FPOM fractions. Technical substrate (anthropogenic materials such as concrete, metal, and brickwork) was recorded at several sites, reflecting the urban character of the catchment. Coarse mineral substrate (makro, meso, mikro) was generally rare, consistent with the low-gradient, sedimentation-prone character of many Boye reaches.</w:t>
      </w:r>
    </w:p>
    <w:p w14:paraId="61635126" w14:textId="77777777" w:rsidR="00591412" w:rsidRDefault="00000000">
      <w:pPr>
        <w:pStyle w:val="Heading3"/>
      </w:pPr>
      <w:r>
        <w:rPr>
          <w:sz w:val="22"/>
          <w:szCs w:val="22"/>
        </w:rPr>
        <w:t>2.1.3 The Kinzig Catchment</w:t>
      </w:r>
    </w:p>
    <w:p w14:paraId="3A2D0F1F" w14:textId="77777777" w:rsidR="00591412" w:rsidRDefault="00000000">
      <w:pPr>
        <w:spacing w:after="160" w:line="360" w:lineRule="auto"/>
        <w:ind w:firstLine="720"/>
        <w:jc w:val="both"/>
      </w:pPr>
      <w:r>
        <w:t>The Kinzig is a right-bank tributary of the River Main, draining approximately 1,060 km² in the Spessart uplands and the Wetterau lowlands of central Hesse (Link et al., 2017). The catchment rises in the forested hills east of Schlüchtern and flows westward through a transition from forested, low-order headwater tributaries to increasingly agricultural and urbanised reaches before its confluence with the Main near Hanau. The Kinzig and nine of its tributary streams were included in this study, providing 21 sampling sites (Table 1): four sites on the main Kinzig river (KIN1–KIN4) and two paired sites on each of the Bieber (BIE1-2), Bracht (BRA1-2), Fallbach (FAL1-2), Gründau (GRU1-2), Orb (ORB1-2), Salz (SAL1-2), Steinau (STE1-2), Krebsbach (KRE1-2), and a single site on the Klinge (KLI) tributary.</w:t>
      </w:r>
    </w:p>
    <w:p w14:paraId="6DA9FCD0" w14:textId="77777777" w:rsidR="00591412" w:rsidRDefault="00000000">
      <w:pPr>
        <w:spacing w:after="160" w:line="360" w:lineRule="auto"/>
        <w:ind w:firstLine="720"/>
        <w:jc w:val="both"/>
      </w:pPr>
      <w:r>
        <w:t>Sites were selected following a paired rural-urban design, with one rural and one urban site per tributary, positioned to capture the transition in land use from forested or semi-natural upstream headwaters to villages, small towns, or agricultural lowlands downstream. This design enables the rural-urban contrast in land use effects on decomposition to be evaluated while partially controlling for the tributary-level variability in geology, catchment area, and flow regime (Walsh et al., 2005; Paul &amp; Meyer, 2001). Site information including position name, rural/urban classification, and catchment membership was recorded during site selection (Schreiner, 2025, unpublished RESIST site information data).</w:t>
      </w:r>
    </w:p>
    <w:p w14:paraId="2D54AEA0" w14:textId="77777777" w:rsidR="00591412" w:rsidRDefault="00000000">
      <w:pPr>
        <w:spacing w:after="160" w:line="360" w:lineRule="auto"/>
        <w:ind w:firstLine="720"/>
        <w:jc w:val="both"/>
      </w:pPr>
      <w:r>
        <w:t>Land use of the upstream catchment for all Kinzig sites was quantified from 2022 GIS data. Agricultural land use was the dominant category at most sites, ranging from 13.57% (ORB1, a rural forested site in the upper Orb valley) to 71.21% (FAL2, a lowland agricultural site in the Fallbach subcatchment). Urban land use was generally low, ranging from 0.71% (SAL1) to 10.37% (KRE2), consistent with the absence of major industrial development within the Kinzig catchment. Rural (forested and semi-natural) land dominated at several Bieber and Orb sites (&gt; 74%), while Gründau and Steinau sites were characterised by intermediate agricultural cover (25–68%). No site in the Kinzig catchment had substantial industrial land use, distinguishing it clearly from the Boye.</w:t>
      </w:r>
    </w:p>
    <w:p w14:paraId="24BBFBBB" w14:textId="77777777" w:rsidR="00591412" w:rsidRDefault="00000000">
      <w:pPr>
        <w:spacing w:after="160" w:line="360" w:lineRule="auto"/>
        <w:ind w:firstLine="720"/>
        <w:jc w:val="both"/>
      </w:pPr>
      <w:r>
        <w:t>Water chemistry at Kinzig sites, measured during the March 2025 campaign, was generally cleaner than at Boye sites. Conductivity ranged from approximately 144 µS/cm (BRA1) to 438 µS/cm (KIN4), reflecting modest mineralisation differences across tributaries. Trace metal concentrations were uniformly low: iron concentrations ranged from 0.046 to 0.103 mg/L, and zinc from 0.00049 to 0.0013 mg/L, at least an order of magnitude lower than at equivalent Boye sites. Dissolved oxygen was generally high (&gt; 10 mg/L at most sites). Nutrient concentrations spanned a wider range, with nitrate (NO3) ranging from 3.33 to 7.92 mg/L across main Kinzig sites, and orthophosphate from 0.0133 to 0.0516 mg/L, reflecting the influence of agricultural runoff at agriculturally dominated subcatchments. Streambed substrate at Kinzig sites showed greater geomorphic heterogeneity than at Boye sites, with measurable coarse mineral fractions (makro, meso, mikro) at most sites and CPOM present at several rural sites.</w:t>
      </w:r>
    </w:p>
    <w:p w14:paraId="5AB4F2F9" w14:textId="77777777" w:rsidR="00591412" w:rsidRDefault="00000000">
      <w:pPr>
        <w:pStyle w:val="Heading2"/>
      </w:pPr>
      <w:r>
        <w:rPr>
          <w:sz w:val="24"/>
          <w:szCs w:val="24"/>
        </w:rPr>
        <w:t>2.2 Study Design and Field Campaign</w:t>
      </w:r>
    </w:p>
    <w:p w14:paraId="6ADA2394" w14:textId="77777777" w:rsidR="00591412" w:rsidRDefault="00000000">
      <w:pPr>
        <w:spacing w:after="160" w:line="360" w:lineRule="auto"/>
        <w:ind w:firstLine="720"/>
        <w:jc w:val="both"/>
      </w:pPr>
      <w:r>
        <w:t>The field campaign was conducted in March 2025 as part of the RESIST (Restored Stream Ecosystems under multiple Stressors) field programme. Leaf bag deployments were carried out at all 23 Boye and 21 Kinzig sites. At each site, three replicate fine-mesh bags and three replicate coarse-mesh bags were deployed, yielding six bags per site and 264 bags in total across both catchments. Deployment at Boye sites took place on 4 March 2025. Retrieval from Boye sites was staggered by site accessibility between 18 and 21 March 2025, giving incubation periods of approximately 14 to 17 days. At Kinzig sites, deployment and retrieval occurred on 25 March 2025 during a single-day campaign, with incubation periods consistent with the design of earlier RESIST field experiments. Date of deployment, date of retrieval, and incubation duration for each bag were recorded in the field data sheet and entered into the processed samples database (2025_field_processed_samples.xlsx).</w:t>
      </w:r>
    </w:p>
    <w:p w14:paraId="4D93DEE6" w14:textId="77777777" w:rsidR="00591412" w:rsidRDefault="00000000">
      <w:pPr>
        <w:spacing w:after="160" w:line="360" w:lineRule="auto"/>
        <w:ind w:firstLine="720"/>
        <w:jc w:val="both"/>
      </w:pPr>
      <w:r>
        <w:t>At each site, bags were anchored to the streambed at riffles or runs using cable ties attached to metal stakes or natural large substrate, positioned to ensure full submersion and exposure to ambient flow. Site-level environmental variables were measured concurrently with bag deployment and retrieval (Section 2.5–2.7 below). In addition to the standard leaf bag deployment, leaf disks were cut from retrieved leaf material at most sites for subsequent analyses of fungal biomass (ergosterol), DNA-based community composition, stable isotope analysis (SIA), and additional organic matter decomposition determinations. The number of disks cut per bag was recorded in the processed samples database to allow mass correction in DSM calculations.</w:t>
      </w:r>
    </w:p>
    <w:p w14:paraId="3CDAFA3E" w14:textId="77777777" w:rsidR="00591412" w:rsidRDefault="00000000">
      <w:pPr>
        <w:pStyle w:val="Heading2"/>
      </w:pPr>
      <w:r>
        <w:rPr>
          <w:sz w:val="24"/>
          <w:szCs w:val="24"/>
        </w:rPr>
        <w:t>2.3 Leaf Material Preparation</w:t>
      </w:r>
    </w:p>
    <w:p w14:paraId="37BEEA73" w14:textId="77777777" w:rsidR="00591412" w:rsidRDefault="00000000">
      <w:pPr>
        <w:spacing w:after="160" w:line="360" w:lineRule="auto"/>
        <w:ind w:firstLine="720"/>
        <w:jc w:val="both"/>
      </w:pPr>
      <w:r>
        <w:t>Freshly fallen leaves of black alder (Alnus glutinosa (L.) Gaertn.) were collected during autumn leaf fall from riparian trees at a single source location, to ensure substrate uniformity across all bags and sites. Leaves were air-dried at room temperature until a constant air-dry mass was achieved. Air-dried leaves were packed into pre-labelled mesh bags to achieve a target initial mass of 3.5 ± 0.05 g per bag. The initial air-dry mass of each bag was recorded prior to deployment (2025_field_initial_mass.xlsx). Alder leaves were selected because they represent a standard, fast-decomposing substrate with well-characterised chemistry (C:N ratio approximately 20–25) and are rapidly colonised by aquatic hyphomycetes, making them sensitive to both nutrient availability and toxicant stress (Gessner et al., 1999; Schreiner et al., 2023; Bärlocher, 1985).</w:t>
      </w:r>
    </w:p>
    <w:p w14:paraId="32351405" w14:textId="77777777" w:rsidR="00591412" w:rsidRDefault="00000000">
      <w:pPr>
        <w:pStyle w:val="Heading2"/>
      </w:pPr>
      <w:r>
        <w:rPr>
          <w:sz w:val="24"/>
          <w:szCs w:val="24"/>
        </w:rPr>
        <w:t>2.4 Leaf Bag Design, Deployment, and Retrieval</w:t>
      </w:r>
    </w:p>
    <w:p w14:paraId="394DE047" w14:textId="77777777" w:rsidR="00591412" w:rsidRDefault="00000000">
      <w:pPr>
        <w:spacing w:after="160" w:line="360" w:lineRule="auto"/>
        <w:ind w:firstLine="720"/>
        <w:jc w:val="both"/>
      </w:pPr>
      <w:r>
        <w:t>Two leaf bag types were used to distinguish microbial from total (microbial + macroinvertebrate) decomposition. Fine-mesh bags (nominal mesh aperture ~500 µm) excluded macroinvertebrate shredders while permitting microbial colonisation, nutrient uptake, and hyphomycete sporulation. Coarse-mesh bags (nominal mesh aperture ~5 mm) allowed access by both microbial communities and macroinvertebrate shredders. Each bag was constructed from the respective mesh material and heat-sealed or stapled to prevent spillage of leaf material during deployment and retrieval. All bags at a given site received the same leaf batch and were prepared under the same conditions (Standard Operating Procedure for Disc Cutting, Schreiner, 2025, unpublished).</w:t>
      </w:r>
    </w:p>
    <w:p w14:paraId="7BA1E32C" w14:textId="77777777" w:rsidR="00591412" w:rsidRDefault="00000000">
      <w:pPr>
        <w:spacing w:after="160" w:line="360" w:lineRule="auto"/>
        <w:ind w:firstLine="720"/>
        <w:jc w:val="both"/>
      </w:pPr>
      <w:r>
        <w:t>Upon retrieval, each bag was individually placed into a labelled zip-lock bag or Falcon tube, transported to the laboratory in cooled conditions, and processed within 48 hours. Any associated macroinvertebrates retained by coarse-mesh bags were removed and identified as part of the invertebrate sampling protocol (Section 2.7). Remaining leaf material in each bag was visually inspected for integrity, and bags that had dried out during the deployment period (e.g., at sites that partially dewatered) were excluded from further analysis and recorded with the comment 'dried out' in the processed samples database.</w:t>
      </w:r>
    </w:p>
    <w:p w14:paraId="0C9517F5" w14:textId="77777777" w:rsidR="00591412" w:rsidRDefault="00000000">
      <w:pPr>
        <w:pStyle w:val="Heading2"/>
      </w:pPr>
      <w:r>
        <w:rPr>
          <w:sz w:val="24"/>
          <w:szCs w:val="24"/>
        </w:rPr>
        <w:t>2.5 Laboratory Processing and DSM Calculation</w:t>
      </w:r>
    </w:p>
    <w:p w14:paraId="4EC4C6FA" w14:textId="77777777" w:rsidR="00591412" w:rsidRDefault="00000000">
      <w:pPr>
        <w:spacing w:after="160" w:line="360" w:lineRule="auto"/>
        <w:ind w:firstLine="720"/>
        <w:jc w:val="both"/>
      </w:pPr>
      <w:r>
        <w:t>Laboratory processing followed the AFDM protocol described in Schreiner et al. (2023). Retrieved leaf material from each bag was first dried at 60°C for 48 hours in pre-weighed aluminium tins to obtain the dry mass (rest_weight_60, expressed in grams). The dried material was subsequently combusted in a muffle furnace at 500°C for 4 hours, and the resulting ash mass (rest_weight_500) was subtracted from the dry mass to yield the ash-free dry mass (AFDM end): AFDM_end = rest_weight_60 − rest_weight_500.</w:t>
      </w:r>
    </w:p>
    <w:p w14:paraId="6E124EC4" w14:textId="77777777" w:rsidR="00591412" w:rsidRDefault="00000000">
      <w:pPr>
        <w:spacing w:after="160" w:line="360" w:lineRule="auto"/>
        <w:ind w:firstLine="720"/>
        <w:jc w:val="both"/>
      </w:pPr>
      <w:r>
        <w:t>Prior to DSM calculation, the initial AFDM of each bag (AFDM_start) was estimated using a set of transport controls: leaf bags prepared identically to deployed bags that were transported to and from the field but never placed in the stream. Transport controls account for the handling, drying, and transport-induced mass losses that are not attributable to in-stream decomposition. For each transport control bag, the percentage of the initial air-dry mass recovered as dry mass at 60°C (perc_60) and as ash mass at 500°C (perc_500) were calculated. The mean values of perc_60 and perc_500 across all transport controls were then applied to each deployed bag's initial air-dry mass to estimate AFDM_start: AFDM_start = (initial_mass × mean(perc_60)) − (initial_mass × mean(perc_500)).</w:t>
      </w:r>
    </w:p>
    <w:p w14:paraId="4F64AF43" w14:textId="77777777" w:rsidR="00591412" w:rsidRDefault="00000000">
      <w:pPr>
        <w:spacing w:after="160" w:line="360" w:lineRule="auto"/>
        <w:ind w:firstLine="720"/>
        <w:jc w:val="both"/>
      </w:pPr>
      <w:r>
        <w:t>Where leaf disks had been cut from retrieved leaf material for companion analyses (ergosterol, DNA, SIA), a disk mass correction was applied before DSM calculation, following the protocol of Schreiner et al. (2023): the estimated combined mass of all disks cut from a bag was added back to the measured AFDM_end, ensuring that mass lost through disk cutting was not conflated with mass lost through decomposition. The number and type of disks per bag were recorded in the processed samples database (no_disks_DNA, no_disks_FA, no_disks_SIA, no_disks_OMD).</w:t>
      </w:r>
    </w:p>
    <w:p w14:paraId="64A47321" w14:textId="77777777" w:rsidR="00591412" w:rsidRDefault="00000000">
      <w:pPr>
        <w:spacing w:after="160" w:line="360" w:lineRule="auto"/>
        <w:ind w:firstLine="720"/>
        <w:jc w:val="both"/>
      </w:pPr>
      <w:r>
        <w:t>The core response variable, Decomposed Substrate Mass (DSM), was calculated for each individual leaf bag as:</w:t>
      </w:r>
    </w:p>
    <w:p w14:paraId="13E1B85F" w14:textId="77777777" w:rsidR="00591412" w:rsidRDefault="00000000">
      <w:pPr>
        <w:spacing w:before="120" w:after="120" w:line="320" w:lineRule="auto"/>
        <w:jc w:val="center"/>
      </w:pPr>
      <w:r>
        <w:rPr>
          <w:b/>
          <w:bCs/>
          <w:i/>
          <w:iCs/>
        </w:rPr>
        <w:t>DSM = [(AFDM_start − AFDM_end) / AFDM_start × 100] / (mean_temperature × incubation_days)</w:t>
      </w:r>
    </w:p>
    <w:p w14:paraId="556ABFE5" w14:textId="77777777" w:rsidR="00591412" w:rsidRDefault="00000000">
      <w:pPr>
        <w:spacing w:after="160" w:line="360" w:lineRule="auto"/>
        <w:ind w:firstLine="720"/>
        <w:jc w:val="both"/>
      </w:pPr>
      <w:r>
        <w:t>where mean_temperature is the mean water temperature (°C) measured at the site over the incubation period, and incubation_days is the number of calendar days between bag deployment and retrieval. DSM is expressed as percentage AFDM lost per degree-day. Bags with negative DSM values, indicating apparent mass gain attributable to measurement error or inorganic contamination, were removed from the dataset prior to analysis. Site-level mean DSM values were computed across the three replicates for each mesh type.</w:t>
      </w:r>
    </w:p>
    <w:p w14:paraId="7B50948C" w14:textId="77777777" w:rsidR="00591412" w:rsidRDefault="00000000">
      <w:pPr>
        <w:pStyle w:val="Heading2"/>
      </w:pPr>
      <w:r>
        <w:rPr>
          <w:sz w:val="24"/>
          <w:szCs w:val="24"/>
        </w:rPr>
        <w:t>2.6 Physicochemical and Environmental Measurements</w:t>
      </w:r>
    </w:p>
    <w:p w14:paraId="5D5FAF53" w14:textId="77777777" w:rsidR="00591412" w:rsidRDefault="00000000">
      <w:pPr>
        <w:spacing w:after="160" w:line="360" w:lineRule="auto"/>
        <w:ind w:firstLine="720"/>
        <w:jc w:val="both"/>
      </w:pPr>
      <w:r>
        <w:t>In-situ water quality measurements at each site were conducted using a calibrated multiparameter probe (MultiLine 3630 IDS, WTW, Weilheim, Germany) at the time of bag deployment or retrieval. Measurements included water temperature (°C), pH, electrical conductivity (µS/cm), dissolved oxygen concentration (mg/L), oxygen saturation (%), redox potential (mV), and water level at a standardised measuring pole (cm). All field measurements followed standardised RESIST field protocols to ensure comparability across sites and sampling occasions.</w:t>
      </w:r>
    </w:p>
    <w:p w14:paraId="3AD5F5B8" w14:textId="77777777" w:rsidR="00591412" w:rsidRDefault="00000000">
      <w:pPr>
        <w:spacing w:after="160" w:line="360" w:lineRule="auto"/>
        <w:ind w:firstLine="720"/>
        <w:jc w:val="both"/>
      </w:pPr>
      <w:r>
        <w:t>Water samples for laboratory chemical analysis were collected from each site at the time of field visits in pre-rinsed 500 mL polyethylene bottles. Samples were transported to the laboratory in cooled, darkened containers and analysed within the holding times specified for each analyte. Nutrient analyses included orthophosphate (Ortho-PO4, mg/L), total phosphate (Total-PO4, mg/L), ammonium (NH4, mg/L), nitrite (NO2, mg/L), nitrate (NO3, mg/L), and total nitrogen (TN, mg/L). Major ion concentrations determined included chloride (Cl, mg/L), sulphate (SO4, mg/L), calcium (Ca, mg/L), magnesium (Mg, mg/L), sodium (Na, mg/L), potassium (K, mg/L), carbonate (CO3, mg/L), and bicarbonate (HCO3, mg/L). Trace metal concentrations (Cd, Cu, Fe, Ni, Pb, Zn, all in mg/L) were analysed by inductively coupled plasma mass spectrometry (ICP-MS) from filtered and acidified water samples, as detailed in the RESIST water sampling standard operating procedure (Schreiner, 2025, unpublished). All water chemistry data were compiled in the master data file (Master_DAta_VAriables_RESIST_Field_MArch_2025.xlsx) alongside in-situ measurements.</w:t>
      </w:r>
    </w:p>
    <w:p w14:paraId="3D406345" w14:textId="77777777" w:rsidR="00591412" w:rsidRDefault="00000000">
      <w:pPr>
        <w:spacing w:after="160" w:line="360" w:lineRule="auto"/>
        <w:ind w:firstLine="720"/>
        <w:jc w:val="both"/>
      </w:pPr>
      <w:r>
        <w:t>Mean water temperature over the incubation period at Boye sites was obtained from continuous temperature logger data recorded by automated loggers deployed at selected sites throughout March 2025. These loggers recorded water temperature at regular intervals, and mean temperature for the bag-specific incubation window was extracted from the logger time series for DSM calculation. At Kinzig sites, the mean temperature recorded by the multiparameter probe at the time of sampling was used as the representative site temperature for DSM normalisation, consistent with the practice described in Schreiner et al. (2023) for short-duration deployments with limited temperature variation.</w:t>
      </w:r>
    </w:p>
    <w:p w14:paraId="6A2D1638" w14:textId="77777777" w:rsidR="00591412" w:rsidRDefault="00000000">
      <w:pPr>
        <w:pStyle w:val="Heading2"/>
      </w:pPr>
      <w:r>
        <w:rPr>
          <w:sz w:val="24"/>
          <w:szCs w:val="24"/>
        </w:rPr>
        <w:t>2.7 Streambed Substrate Estimation</w:t>
      </w:r>
    </w:p>
    <w:p w14:paraId="5EBA5F79" w14:textId="77777777" w:rsidR="00591412" w:rsidRDefault="00000000">
      <w:pPr>
        <w:spacing w:after="160" w:line="360" w:lineRule="auto"/>
        <w:ind w:firstLine="720"/>
        <w:jc w:val="both"/>
      </w:pPr>
      <w:r>
        <w:t>Streambed substrate composition at each site was estimated visually using a standardised percentage cover method, following the approach described in the RESIST field protocol. At each site, the observer estimated the percentage cover of each substrate category across the sampling reach, with all categories summing to 100%. Substrate categories recorded were: macrolittoral (cobbles and boulders, &gt; 200 mm; makro_pct), mesolithic (pebbles, 20–200 mm; meso_pct), microlithic (gravel, 2–20 mm; mikro_pct), acalcareous gravel (akal_pct), psammal (sand, &lt; 2 mm; psam_pct), technical substrate (concrete, metal, artificial surfaces; tech_pct), submerged macrophytes (submers_pct), emergent vegetation (emers_pct), living plant parts (living_parts_pct), xylal (woody debris; xylal_pct), coarse particulate organic matter (CPOM_pct), and fine particulate organic matter (FPOM_pct). Substrate data were entered into the field substrate estimation spreadsheets (SFB_FieldStudies_SubstrateEstimation_Boye_clean.xlsx; SFB_FieldStudies_SubstrateEstimation_Kinzig_2025_clean.xlsx) and subsequently integrated into the master environmental variable table for statistical analysis.</w:t>
      </w:r>
    </w:p>
    <w:p w14:paraId="2EED8BD6" w14:textId="77777777" w:rsidR="00591412" w:rsidRDefault="00000000">
      <w:pPr>
        <w:pStyle w:val="Heading2"/>
      </w:pPr>
      <w:r>
        <w:rPr>
          <w:sz w:val="24"/>
          <w:szCs w:val="24"/>
        </w:rPr>
        <w:t>2.8 Macroinvertebrate Sampling</w:t>
      </w:r>
    </w:p>
    <w:p w14:paraId="6A1A5347" w14:textId="77777777" w:rsidR="00591412" w:rsidRDefault="00000000">
      <w:pPr>
        <w:spacing w:after="160" w:line="360" w:lineRule="auto"/>
        <w:ind w:firstLine="720"/>
        <w:jc w:val="both"/>
      </w:pPr>
      <w:r>
        <w:t>Macroinvertebrate communities were sampled at all 23 Boye sites using a combination of kick-net sampling and retrieval of organisms from coarse-mesh leaf bags. Benthic macroinvertebrate sampling followed the standard RESIST kick-net protocol using a 500 µm mesh hand net, with a 0.5 m × 0.5 m kick sample taken from representative microhabitats at each site. Sampled material was preserved in 70% ethanol and sorted in the laboratory under a stereomicroscope. Taxa were identified to the finest taxonomic resolution achievable with reference literature, and expressed as densities (individuals per m²). A total of 145 taxa were identified across Boye sites, compiled in the macroinvertebrate data table (SFB_MACROINVERTEBRATE_BOYE_2O25_processed.xlsx). Organisms retained in coarse-mesh leaf bags at retrieval, predominantly gammarids (Gammarus spp.), trichoptera larvae (Trichoptera), chironomid larvae (Chironomidae), and other invertebrates, were enumerated separately per bag and recorded in the coarse bag invertebrate database (2025_field_invertebrates_coarse_leaf_bags.xlsx).</w:t>
      </w:r>
    </w:p>
    <w:p w14:paraId="0EF9B006" w14:textId="77777777" w:rsidR="00591412" w:rsidRDefault="00000000">
      <w:pPr>
        <w:spacing w:after="160" w:line="360" w:lineRule="auto"/>
        <w:ind w:firstLine="720"/>
        <w:jc w:val="both"/>
      </w:pPr>
      <w:r>
        <w:t>At Kinzig sites, the organisms retrieved from coarse-mesh leaf bags were similarly enumerated and identified at retrieval, but full benthic kick-sampling was not conducted during the March 2025 campaign at Kinzig sites. Accordingly, macroinvertebrate-related predictors in the statistical analysis for the Kinzig catchment were restricted to the organisms recovered from coarse-mesh bags, while the full community composition analysis was conducted for Boye sites only.</w:t>
      </w:r>
    </w:p>
    <w:p w14:paraId="1BE298DE" w14:textId="77777777" w:rsidR="00591412" w:rsidRDefault="00000000">
      <w:pPr>
        <w:spacing w:after="160" w:line="360" w:lineRule="auto"/>
        <w:ind w:firstLine="720"/>
        <w:jc w:val="both"/>
      </w:pPr>
      <w:r>
        <w:t>Macroinvertebrate taxa were classified into functional feeding groups (FFGs) according to published trait databases for Central European stream invertebrates (Tachet et al., 2010; Poff et al., 2006). The proportion of shredders in the community, a functional feeding group encompassing taxa that consume conditioned leaf litter, was calculated for each Boye site as a predictor variable for DSM in stability selection models, following the approach of Schreiner et al. (2023) who found the percentage of shredders to be a more robust predictor than absolute shredder abundance when using percentage avoids collinearity with overall invertebrate density.</w:t>
      </w:r>
    </w:p>
    <w:p w14:paraId="5F0F4973" w14:textId="77777777" w:rsidR="00591412" w:rsidRDefault="00000000">
      <w:pPr>
        <w:pStyle w:val="Heading2"/>
      </w:pPr>
      <w:r>
        <w:rPr>
          <w:sz w:val="24"/>
          <w:szCs w:val="24"/>
        </w:rPr>
        <w:t>2.9 Land Use Classification</w:t>
      </w:r>
    </w:p>
    <w:p w14:paraId="6881A195" w14:textId="77777777" w:rsidR="00591412" w:rsidRDefault="00000000">
      <w:pPr>
        <w:spacing w:after="160" w:line="360" w:lineRule="auto"/>
        <w:ind w:firstLine="720"/>
        <w:jc w:val="both"/>
      </w:pPr>
      <w:r>
        <w:t>Land use of the upstream catchment was characterised using geographic information system (GIS) data from the 2022 land use classification of Germany. The upstream catchment boundary for each site was delineated digitally using digital elevation models and flow direction analysis, and the area covered by each land use category within the delineated catchment was extracted and expressed as both absolute area (km²) and percentage of total catchment area. The four land use categories used were: agricultural land (Pct_Agri, comprising arable land, orchards, and improved grassland), industrial land (Pct_Indus), urban land (Pct_Urban, comprising residential and commercial areas), and rural land (Pct_Rural, comprising forests, semi-natural grasslands, and wetlands). Data were compiled in the land use summary file (LandUse_Summary_2022.xlsx) and merged with physicochemical and biological data in the master environmental variables table.</w:t>
      </w:r>
    </w:p>
    <w:p w14:paraId="5020C50B" w14:textId="77777777" w:rsidR="00591412" w:rsidRDefault="00000000">
      <w:pPr>
        <w:spacing w:after="160" w:line="360" w:lineRule="auto"/>
        <w:ind w:firstLine="720"/>
        <w:jc w:val="both"/>
      </w:pPr>
      <w:r>
        <w:t>Catchment area showed a wide range across sites in both catchments, from 61.42 km² (BOYkl, the most upstream Boye site) to 10,112.7 km² (KIN4, the most downstream main-stem Kinzig site). To account for the potential collinearity between catchment area and downstream-increasing contaminant loads, catchment area was log10-transformed prior to inclusion as a predictor variable in statistical models, following Schreiner et al. (2023). The total catchment area variable was retained as a covariate in stability selection to account for the effects of river size on decomposer community structure and organic matter retention.</w:t>
      </w:r>
    </w:p>
    <w:p w14:paraId="143410C3" w14:textId="77777777" w:rsidR="00591412" w:rsidRDefault="00000000">
      <w:pPr>
        <w:pStyle w:val="Heading2"/>
      </w:pPr>
      <w:r>
        <w:rPr>
          <w:sz w:val="24"/>
          <w:szCs w:val="24"/>
        </w:rPr>
        <w:t>2.10 Statistical Analysis</w:t>
      </w:r>
    </w:p>
    <w:p w14:paraId="2C73D38B" w14:textId="77777777" w:rsidR="00591412" w:rsidRDefault="00000000">
      <w:pPr>
        <w:pStyle w:val="Heading3"/>
      </w:pPr>
      <w:r>
        <w:rPr>
          <w:sz w:val="22"/>
          <w:szCs w:val="22"/>
        </w:rPr>
        <w:t>2.10.1 Data Screening and Transformation</w:t>
      </w:r>
    </w:p>
    <w:p w14:paraId="72875901" w14:textId="77777777" w:rsidR="00591412" w:rsidRDefault="00000000">
      <w:pPr>
        <w:spacing w:after="160" w:line="360" w:lineRule="auto"/>
        <w:ind w:firstLine="720"/>
        <w:jc w:val="both"/>
      </w:pPr>
      <w:r>
        <w:t>Prior to statistical analysis, all explanatory variables were screened for distributional properties, missing values, and potential collinearity. Skewness was calculated for all continuous variables using the moments package in R (Komsta &amp; Novomestky, 2022); variables with absolute skewness &gt; 2 and spanning more than one order of magnitude were log10-transformed. Transformed variables included catchment area (log10), nitrate, orthophosphate, ammonium, total nitrogen, total phosphate, and zinc concentrations. Where zero values were present, a constant of 1 was added before log10 transformation to avoid undefined values (CPOM fraction, technical substrate fraction). All analyses were performed in R version 4.x (R Core Team, 2024) using the following packages: dplyr and plyr for data manipulation (Wickham et al., 2023), moments for skewness calculation, PerformanceAnalytics for correlation visualisation (Peterson &amp; Carl, 2020), stabs for stability selection (Hofner &amp; Hothorn, 2021), ggplot2 for plotting (Wickham, 2016), ggeffects for marginal effects (Lüdecke, 2018), cowplot for multi-panel figures (Wilke, 2020), and car for variance inflation factor (VIF) calculations (Fox &amp; Weisberg, 2019).</w:t>
      </w:r>
    </w:p>
    <w:p w14:paraId="4D6E6F94" w14:textId="77777777" w:rsidR="00591412" w:rsidRDefault="00000000">
      <w:pPr>
        <w:pStyle w:val="Heading3"/>
      </w:pPr>
      <w:r>
        <w:rPr>
          <w:sz w:val="22"/>
          <w:szCs w:val="22"/>
        </w:rPr>
        <w:t>2.10.2 Collinearity Screening</w:t>
      </w:r>
    </w:p>
    <w:p w14:paraId="20BB501E" w14:textId="77777777" w:rsidR="00591412" w:rsidRDefault="00000000">
      <w:pPr>
        <w:spacing w:after="160" w:line="360" w:lineRule="auto"/>
        <w:ind w:firstLine="720"/>
        <w:jc w:val="both"/>
      </w:pPr>
      <w:r>
        <w:t>Collinearity among explanatory variables was assessed using Pearson correlation coefficients computed for all pairwise combinations of candidate predictors. Variable pairs with |r| &gt; 0.70 were considered collinear and could not be retained together in the statistical model (Dormann et al., 2013). Where collinear pairs were identified, the variable with the clearer biological interpretation and lower proportion of missing values was retained, following the decision rules described in Schreiner et al. (2023). Specifically: when both a buffer-scale and a whole-catchment version of a land use variable were available, the whole-catchment variable was preferred; when nitrate and total nitrogen were collinear, total nitrogen was preferred as the more integrative metric; when percentage shredder abundance and total shredder abundance were collinear, percentage shredder was retained. Collinearity screening was conducted separately for Boye and Kinzig datasets and for the combined dataset where appropriate.</w:t>
      </w:r>
    </w:p>
    <w:p w14:paraId="4CFD5016" w14:textId="77777777" w:rsidR="00591412" w:rsidRDefault="00000000">
      <w:pPr>
        <w:pStyle w:val="Heading3"/>
      </w:pPr>
      <w:r>
        <w:rPr>
          <w:sz w:val="22"/>
          <w:szCs w:val="22"/>
        </w:rPr>
        <w:t>2.10.3 Variance Inflation Factor (VIF) Screening</w:t>
      </w:r>
    </w:p>
    <w:p w14:paraId="2CF636E2" w14:textId="77777777" w:rsidR="00591412" w:rsidRDefault="00000000">
      <w:pPr>
        <w:spacing w:after="160" w:line="360" w:lineRule="auto"/>
        <w:ind w:firstLine="720"/>
        <w:jc w:val="both"/>
      </w:pPr>
      <w:r>
        <w:t>Following pairwise collinearity screening, the retained candidate predictors were entered into a full ordinary least squares linear model with DSM as the response variable, and variance inflation factors (VIFs) were computed for all predictors using the vif() function from the car package. Variables with VIF &gt; 10 were sequentially removed from the candidate set, starting with the variable with the highest VIF, until all retained variables had VIF &lt; 10. This step addresses multicollinearity that does not manifest as pairwise correlations but emerges in the context of the full model (Hair et al., 2019).</w:t>
      </w:r>
    </w:p>
    <w:p w14:paraId="7CA43C3D" w14:textId="77777777" w:rsidR="00591412" w:rsidRDefault="00000000">
      <w:pPr>
        <w:pStyle w:val="Heading3"/>
      </w:pPr>
      <w:r>
        <w:rPr>
          <w:sz w:val="22"/>
          <w:szCs w:val="22"/>
        </w:rPr>
        <w:t>2.10.4 Stability Selection</w:t>
      </w:r>
    </w:p>
    <w:p w14:paraId="43A7DC95" w14:textId="77777777" w:rsidR="00591412" w:rsidRDefault="00000000">
      <w:pPr>
        <w:spacing w:after="160" w:line="360" w:lineRule="auto"/>
        <w:ind w:firstLine="720"/>
        <w:jc w:val="both"/>
      </w:pPr>
      <w:r>
        <w:t>Stability selection was used as the primary variable selection and inference procedure for identifying robust predictors of DSM across sites (Meinshausen &amp; Bühlmann, 2010; Shah &amp; Samworth, 2013). The method applies LASSO penalised regression (Tibshirani, 1996) on a large number of random subsamples of the data, each comprising 50% of the observations, and records the frequency with which each variable is selected in LASSO across the subsamples. Variables selected in at least 70% of subsamples (selection frequency ≥ 0.70) at a per-family error rate (PFER) of ≤ 1 false positive are identified as robust predictors. This threshold combination was chosen to balance sensitivity (the ability to detect true drivers) against specificity (the risk of false positives), following the recommendations of Schreiner et al. (2023) and Meinshausen &amp; Bühlmann (2010).</w:t>
      </w:r>
    </w:p>
    <w:p w14:paraId="19C613AD" w14:textId="77777777" w:rsidR="00591412" w:rsidRDefault="00000000">
      <w:pPr>
        <w:spacing w:after="160" w:line="360" w:lineRule="auto"/>
        <w:ind w:firstLine="720"/>
        <w:jc w:val="both"/>
      </w:pPr>
      <w:r>
        <w:t>Stability selection was implemented using the stabsel() function in the stabs package (Hofner &amp; Hothorn, 2021), with the LASSO fitting function glmnet.lasso. All predictor variables were standardised (mean-centred and scaled to unit variance) prior to stability selection, so that selection frequencies were not influenced by differences in variable scale. The random seed was set at 123 for reproducibility. Analyses were performed separately for microbial DSM (fine-mesh bags) and total DSM (coarse-mesh bags) to identify drivers operating specifically on each decomposition pathway. For comparisons between catchments, stability selection was run within each catchment dataset independently.</w:t>
      </w:r>
    </w:p>
    <w:p w14:paraId="5EED9BA1" w14:textId="77777777" w:rsidR="00591412" w:rsidRDefault="00000000">
      <w:pPr>
        <w:pStyle w:val="Heading3"/>
      </w:pPr>
      <w:r>
        <w:rPr>
          <w:sz w:val="22"/>
          <w:szCs w:val="22"/>
        </w:rPr>
        <w:t>2.10.5 Linear Models and Effect Direction Plots</w:t>
      </w:r>
    </w:p>
    <w:p w14:paraId="5C7849C7" w14:textId="77777777" w:rsidR="00591412" w:rsidRDefault="00000000">
      <w:pPr>
        <w:spacing w:after="160" w:line="360" w:lineRule="auto"/>
        <w:ind w:firstLine="720"/>
        <w:jc w:val="both"/>
      </w:pPr>
      <w:r>
        <w:t>To estimate the direction and magnitude of effects identified by stability selection, ordinary least squares linear models were fitted with DSM as the response variable and the stability-selected predictors as explanatory variables. Log10-transformed versions of skewed variables were used in the linear models to satisfy the normality of residuals assumption. Model fit was assessed by the adjusted R² and the overall F-statistic. For each predictor retained in the final linear model, marginal effect plots were generated using the ggpredict() function from the ggeffects package (Lüdecke, 2018), which computes the predicted value of DSM across the observed range of each predictor while holding all other predictors at their mean values. Effect plots were used to assess the biological plausibility of estimated relationships and to facilitate communication of results.</w:t>
      </w:r>
    </w:p>
    <w:p w14:paraId="0DB32C6A" w14:textId="77777777" w:rsidR="00591412" w:rsidRDefault="00000000">
      <w:pPr>
        <w:spacing w:after="160" w:line="360" w:lineRule="auto"/>
        <w:ind w:firstLine="720"/>
        <w:jc w:val="both"/>
      </w:pPr>
      <w:r>
        <w:t>Importantly, p-values from individual predictors in the linear models were not used as the primary inference criterion; stability selection was the primary tool for identifying robust drivers, and the linear models served exclusively to estimate effect directions and confidence intervals for selected variables (Schreiner et al., 2023; Meinshausen &amp; Bühlmann, 2010). Within-site inter-replicate variability was quantified as the mean of site-level variance relative to site-level mean DSM across all three replicates, expressed as a percentage, to assess measurement precision.</w:t>
      </w:r>
    </w:p>
    <w:p w14:paraId="2DBB9F2C" w14:textId="77777777" w:rsidR="00591412" w:rsidRDefault="00000000">
      <w:r>
        <w:br w:type="page"/>
      </w:r>
    </w:p>
    <w:p w14:paraId="11D62B76" w14:textId="77777777" w:rsidR="00591412" w:rsidRDefault="00000000">
      <w:pPr>
        <w:pStyle w:val="Heading1"/>
      </w:pPr>
      <w:r>
        <w:rPr>
          <w:sz w:val="28"/>
          <w:szCs w:val="28"/>
        </w:rPr>
        <w:t>REFERENCES</w:t>
      </w:r>
    </w:p>
    <w:p w14:paraId="604E047D" w14:textId="77777777" w:rsidR="00591412" w:rsidRDefault="00000000">
      <w:pPr>
        <w:spacing w:after="120" w:line="320" w:lineRule="auto"/>
        <w:ind w:left="720" w:hanging="720"/>
        <w:jc w:val="both"/>
      </w:pPr>
      <w:r>
        <w:rPr>
          <w:sz w:val="22"/>
          <w:szCs w:val="22"/>
        </w:rPr>
        <w:t>Agube, I.S. (2025). The Effect of Multiple Stressors on Microbial and Total Leaf Decomposition in Urban and Rural Streams of the Kinzig Catchment. Internship Report, Department of Ecotoxicology, University of Duisburg-Essen.</w:t>
      </w:r>
    </w:p>
    <w:p w14:paraId="2C0F1936" w14:textId="77777777" w:rsidR="00591412" w:rsidRDefault="00000000">
      <w:pPr>
        <w:spacing w:after="120" w:line="320" w:lineRule="auto"/>
        <w:ind w:left="720" w:hanging="720"/>
        <w:jc w:val="both"/>
      </w:pPr>
      <w:r>
        <w:rPr>
          <w:sz w:val="22"/>
          <w:szCs w:val="22"/>
        </w:rPr>
        <w:t>Bärlocher, F. (1985). The role of fungi in the nutrition of stream invertebrates. Botanical Journal of the Linnean Society, 91(1-2), 83–94. https://doi.org/10.1111/j.1095-8339.1985.tb01143.x</w:t>
      </w:r>
    </w:p>
    <w:p w14:paraId="5A46F260" w14:textId="77777777" w:rsidR="00591412" w:rsidRDefault="00000000">
      <w:pPr>
        <w:spacing w:after="120" w:line="320" w:lineRule="auto"/>
        <w:ind w:left="720" w:hanging="720"/>
        <w:jc w:val="both"/>
      </w:pPr>
      <w:r>
        <w:rPr>
          <w:sz w:val="22"/>
          <w:szCs w:val="22"/>
        </w:rPr>
        <w:t>Bärlocher, F. (2005). Leaf mass loss estimated by litter bag technique. In F. Bärlocher (Ed.), Methods to Study Litter Decomposition: A Practical Guide (pp. 37–42). Springer.</w:t>
      </w:r>
    </w:p>
    <w:p w14:paraId="6ECD2AD5" w14:textId="77777777" w:rsidR="00591412" w:rsidRDefault="00000000">
      <w:pPr>
        <w:spacing w:after="120" w:line="320" w:lineRule="auto"/>
        <w:ind w:left="720" w:hanging="720"/>
        <w:jc w:val="both"/>
      </w:pPr>
      <w:r>
        <w:rPr>
          <w:sz w:val="22"/>
          <w:szCs w:val="22"/>
        </w:rPr>
        <w:t>Batzer, D.P., &amp; Sharitz, R.R. (2006). Ecology of Freshwater and Estuarine Wetlands. University of California Press.</w:t>
      </w:r>
    </w:p>
    <w:p w14:paraId="4FF1250A" w14:textId="77777777" w:rsidR="00591412" w:rsidRDefault="00000000">
      <w:pPr>
        <w:spacing w:after="120" w:line="320" w:lineRule="auto"/>
        <w:ind w:left="720" w:hanging="720"/>
        <w:jc w:val="both"/>
      </w:pPr>
      <w:r>
        <w:rPr>
          <w:sz w:val="22"/>
          <w:szCs w:val="22"/>
        </w:rPr>
        <w:t>Biggs, B.J.F. (1996). Patterns in benthic algae of streams. In R.J. Stevenson, M. Bothwell, &amp; R.L. Lowe (Eds.), Algal Ecology (pp. 31–56). Academic Press.</w:t>
      </w:r>
    </w:p>
    <w:p w14:paraId="7126CD9E" w14:textId="77777777" w:rsidR="00591412" w:rsidRDefault="00000000">
      <w:pPr>
        <w:spacing w:after="120" w:line="320" w:lineRule="auto"/>
        <w:ind w:left="720" w:hanging="720"/>
        <w:jc w:val="both"/>
      </w:pPr>
      <w:r>
        <w:rPr>
          <w:sz w:val="22"/>
          <w:szCs w:val="22"/>
        </w:rPr>
        <w:t>Brauns, M., Scholl, F., Pusch, M.T., &amp; Brüning, A. (2022). Urban stream syndrome alters macroinvertebrate-mediated leaf litter decomposition. Science of the Total Environment, 815, 152726. https://doi.org/10.1016/j.scitotenv.2021.152726</w:t>
      </w:r>
    </w:p>
    <w:p w14:paraId="78AB1032" w14:textId="77777777" w:rsidR="00591412" w:rsidRDefault="00000000">
      <w:pPr>
        <w:spacing w:after="120" w:line="320" w:lineRule="auto"/>
        <w:ind w:left="720" w:hanging="720"/>
        <w:jc w:val="both"/>
      </w:pPr>
      <w:r>
        <w:rPr>
          <w:sz w:val="22"/>
          <w:szCs w:val="22"/>
        </w:rPr>
        <w:t>Bruder, A., Chauvet, E., &amp; Gessner, M.O. (2011). Litter diversity, fungal decomposers and litter decomposition under simulated stream intermittency. Functional Ecology, 25(6), 1269–1277. https://doi.org/10.1111/j.1365-2435.2011.01903.x</w:t>
      </w:r>
    </w:p>
    <w:p w14:paraId="55993A49" w14:textId="77777777" w:rsidR="00591412" w:rsidRDefault="00000000">
      <w:pPr>
        <w:spacing w:after="120" w:line="320" w:lineRule="auto"/>
        <w:ind w:left="720" w:hanging="720"/>
        <w:jc w:val="both"/>
      </w:pPr>
      <w:r>
        <w:rPr>
          <w:sz w:val="22"/>
          <w:szCs w:val="22"/>
        </w:rPr>
        <w:t>Bundschuh, M., Goedkoop, W., &amp; Kreuger, J. (2021). Contaminants in freshwaters: ecological and toxicological risk assessment. Environmental Science &amp; Technology, 55(12), 7800–7810. https://doi.org/10.1021/acs.est.0c08432</w:t>
      </w:r>
    </w:p>
    <w:p w14:paraId="725DE08D" w14:textId="77777777" w:rsidR="00591412" w:rsidRDefault="00000000">
      <w:pPr>
        <w:spacing w:after="120" w:line="320" w:lineRule="auto"/>
        <w:ind w:left="720" w:hanging="720"/>
        <w:jc w:val="both"/>
      </w:pPr>
      <w:r>
        <w:rPr>
          <w:sz w:val="22"/>
          <w:szCs w:val="22"/>
        </w:rPr>
        <w:t>Bunzel, K., Kattwinkel, M., &amp; Liess, M. (2014). Effects of organic pollutants from wastewater treatment plants on aquatic invertebrate communities. Water Research, 55, 20–28. https://doi.org/10.1016/j.watres.2014.02.008</w:t>
      </w:r>
    </w:p>
    <w:p w14:paraId="167C7FDB" w14:textId="77777777" w:rsidR="00591412" w:rsidRDefault="00000000">
      <w:pPr>
        <w:spacing w:after="120" w:line="320" w:lineRule="auto"/>
        <w:ind w:left="720" w:hanging="720"/>
        <w:jc w:val="both"/>
      </w:pPr>
      <w:r>
        <w:rPr>
          <w:sz w:val="22"/>
          <w:szCs w:val="22"/>
        </w:rPr>
        <w:t>Carpenter, S.R., Caraco, N.F., Correll, D.L., Howarth, R.W., Sharpley, A.N., &amp; Smith, V.H. (1998). Nonpoint pollution of surface waters with phosphorus and nitrogen. Ecological Applications, 8(3), 559–568. https://doi.org/10.1890/1051-0761(1998)008[0559:NPOSWW]2.0.CO;2</w:t>
      </w:r>
    </w:p>
    <w:p w14:paraId="4141A6FC" w14:textId="77777777" w:rsidR="00591412" w:rsidRDefault="00000000">
      <w:pPr>
        <w:spacing w:after="120" w:line="320" w:lineRule="auto"/>
        <w:ind w:left="720" w:hanging="720"/>
        <w:jc w:val="both"/>
      </w:pPr>
      <w:r>
        <w:rPr>
          <w:sz w:val="22"/>
          <w:szCs w:val="22"/>
        </w:rPr>
        <w:t>Chauvet, E., Ferreira, V., Giller, P.S., McKie, B.G., Tiegs, S.D., Woodward, G., &amp; Gessner, M.O. (2016). Litter decomposition as an indicator of stream ecosystem functioning at local-to-continental scales: insights from the European RivFunction project. Advances in Ecological Research, 55, 99–182. https://doi.org/10.1016/bs.aecr.2016.08.006</w:t>
      </w:r>
    </w:p>
    <w:p w14:paraId="0EAFF4C1" w14:textId="77777777" w:rsidR="00591412" w:rsidRDefault="00000000">
      <w:pPr>
        <w:spacing w:after="120" w:line="320" w:lineRule="auto"/>
        <w:ind w:left="720" w:hanging="720"/>
        <w:jc w:val="both"/>
      </w:pPr>
      <w:r>
        <w:rPr>
          <w:sz w:val="22"/>
          <w:szCs w:val="22"/>
        </w:rPr>
        <w:t>Cole, J.J., Prairie, Y.T., Caraco, N.F., McDowell, W.H., Tranvik, L.J., Striegl, R.G., Duarte, C.M., Kortelainen, P., Downing, J.A., Middelburg, J.J., &amp; Melack, J. (2007). Plumbing the global carbon cycle: integrating inland waters into the terrestrial carbon budget. Ecosystems, 10(1), 172–185. https://doi.org/10.1007/s10021-006-9013-8</w:t>
      </w:r>
    </w:p>
    <w:p w14:paraId="0F4D5679" w14:textId="77777777" w:rsidR="00591412" w:rsidRDefault="00000000">
      <w:pPr>
        <w:spacing w:after="120" w:line="320" w:lineRule="auto"/>
        <w:ind w:left="720" w:hanging="720"/>
        <w:jc w:val="both"/>
      </w:pPr>
      <w:r>
        <w:rPr>
          <w:sz w:val="22"/>
          <w:szCs w:val="22"/>
        </w:rPr>
        <w:t>Crain, C.M., Kroeker, K., &amp; Halpern, B.S. (2008). Interactive and cumulative effects of multiple human stressors in marine systems. Ecology Letters, 11(12), 1304–1315. https://doi.org/10.1111/j.1461-0248.2008.01253.x</w:t>
      </w:r>
    </w:p>
    <w:p w14:paraId="24FB28F0" w14:textId="77777777" w:rsidR="00591412" w:rsidRDefault="00000000">
      <w:pPr>
        <w:spacing w:after="120" w:line="320" w:lineRule="auto"/>
        <w:ind w:left="720" w:hanging="720"/>
        <w:jc w:val="both"/>
      </w:pPr>
      <w:r>
        <w:rPr>
          <w:sz w:val="22"/>
          <w:szCs w:val="22"/>
        </w:rPr>
        <w:t>Cummins, K.W. (1974). Structure and function of stream ecosystems. BioScience, 24(11), 631–641. https://doi.org/10.2307/1296676</w:t>
      </w:r>
    </w:p>
    <w:p w14:paraId="525E55E1" w14:textId="77777777" w:rsidR="00591412" w:rsidRDefault="00000000">
      <w:pPr>
        <w:spacing w:after="120" w:line="320" w:lineRule="auto"/>
        <w:ind w:left="720" w:hanging="720"/>
        <w:jc w:val="both"/>
      </w:pPr>
      <w:r>
        <w:rPr>
          <w:sz w:val="22"/>
          <w:szCs w:val="22"/>
        </w:rPr>
        <w:t>Dormann, C.F., Elith, J., Bacher, S., Buchmann, C., Carl, G., Carré, G., et al. (2013). Collinearity: a review of methods to deal with it and a simulation study evaluating their performance. Ecography, 36(1), 27–46. https://doi.org/10.1111/j.1600-0587.2012.07348.x</w:t>
      </w:r>
    </w:p>
    <w:p w14:paraId="081178A6" w14:textId="77777777" w:rsidR="00591412" w:rsidRDefault="00000000">
      <w:pPr>
        <w:spacing w:after="120" w:line="320" w:lineRule="auto"/>
        <w:ind w:left="720" w:hanging="720"/>
        <w:jc w:val="both"/>
      </w:pPr>
      <w:r>
        <w:rPr>
          <w:sz w:val="22"/>
          <w:szCs w:val="22"/>
        </w:rPr>
        <w:t>Duarte, S., Pascoal, C., Alves, A., Correia, A., &amp; Cássio, F. (2008). Copper and zinc mixtures induce shifts in microbial communities and reduce leaf litter decomposition in streams. Freshwater Biology, 53(1), 91–101. https://doi.org/10.1111/j.1365-2427.2007.01875.x</w:t>
      </w:r>
    </w:p>
    <w:p w14:paraId="214E3EF7" w14:textId="77777777" w:rsidR="00591412" w:rsidRDefault="00000000">
      <w:pPr>
        <w:spacing w:after="120" w:line="320" w:lineRule="auto"/>
        <w:ind w:left="720" w:hanging="720"/>
        <w:jc w:val="both"/>
      </w:pPr>
      <w:r>
        <w:rPr>
          <w:sz w:val="22"/>
          <w:szCs w:val="22"/>
        </w:rPr>
        <w:t>Fernández, D., Voss, K., Bundschuh, M., Zubrod, J.P., &amp; Schäfer, R.B. (2015). Effects of fungicides on decomposer communities and litter decomposition in vineyard streams. Science of the Total Environment, 533, 40–48. https://doi.org/10.1016/j.scitotenv.2015.06.090</w:t>
      </w:r>
    </w:p>
    <w:p w14:paraId="51D24838" w14:textId="77777777" w:rsidR="00591412" w:rsidRDefault="00000000">
      <w:pPr>
        <w:spacing w:after="120" w:line="320" w:lineRule="auto"/>
        <w:ind w:left="720" w:hanging="720"/>
        <w:jc w:val="both"/>
      </w:pPr>
      <w:r>
        <w:rPr>
          <w:sz w:val="22"/>
          <w:szCs w:val="22"/>
        </w:rPr>
        <w:t>Ferreira, V., &amp; Graça, M.A.S. (2006). Do shredders influence the microbial activity associated with leaf litter decomposition in streams? International Review of Hydrobiology, 91(6), 506–516.</w:t>
      </w:r>
    </w:p>
    <w:p w14:paraId="0B2978EB" w14:textId="77777777" w:rsidR="00591412" w:rsidRDefault="00000000">
      <w:pPr>
        <w:spacing w:after="120" w:line="320" w:lineRule="auto"/>
        <w:ind w:left="720" w:hanging="720"/>
        <w:jc w:val="both"/>
      </w:pPr>
      <w:r>
        <w:rPr>
          <w:sz w:val="22"/>
          <w:szCs w:val="22"/>
        </w:rPr>
        <w:t>Ferreira, V., Koricheva, J., Pozo, J., &amp; Graça, M.A.S. (2016). A meta-analysis on the effects of changes in the composition of native forests on litter decomposition in streams. Forest Ecology and Management, 364, 27–38. https://doi.org/10.1016/j.foreco.2016.01.002</w:t>
      </w:r>
    </w:p>
    <w:p w14:paraId="51108A6A" w14:textId="77777777" w:rsidR="00591412" w:rsidRDefault="00000000">
      <w:pPr>
        <w:spacing w:after="120" w:line="320" w:lineRule="auto"/>
        <w:ind w:left="720" w:hanging="720"/>
        <w:jc w:val="both"/>
      </w:pPr>
      <w:r>
        <w:rPr>
          <w:sz w:val="22"/>
          <w:szCs w:val="22"/>
        </w:rPr>
        <w:t>Feyen, M., Bundschuh, M., Zubrod, J.P., Voss, K., Schulz, R., &amp; Schäfer, R.B. (2022). Toxicant-specific fungal sensitivity drives pesticide mixture toxicity to leaf litter decomposers in streams. Science of the Total Environment, 845, 157219. https://doi.org/10.1016/j.scitotenv.2022.157219</w:t>
      </w:r>
    </w:p>
    <w:p w14:paraId="029AE372" w14:textId="77777777" w:rsidR="00591412" w:rsidRDefault="00000000">
      <w:pPr>
        <w:spacing w:after="120" w:line="320" w:lineRule="auto"/>
        <w:ind w:left="720" w:hanging="720"/>
        <w:jc w:val="both"/>
      </w:pPr>
      <w:r>
        <w:rPr>
          <w:sz w:val="22"/>
          <w:szCs w:val="22"/>
        </w:rPr>
        <w:t>Fisher, S.G., &amp; Likens, G.E. (1973). Energy flow in Bear Brook, New Hampshire: an integrative approach to stream ecosystem metabolism. Ecological Monographs, 43(4), 421–439. https://doi.org/10.2307/1942301</w:t>
      </w:r>
    </w:p>
    <w:p w14:paraId="0B144537" w14:textId="77777777" w:rsidR="00591412" w:rsidRDefault="00000000">
      <w:pPr>
        <w:spacing w:after="120" w:line="320" w:lineRule="auto"/>
        <w:ind w:left="720" w:hanging="720"/>
        <w:jc w:val="both"/>
      </w:pPr>
      <w:r>
        <w:rPr>
          <w:sz w:val="22"/>
          <w:szCs w:val="22"/>
        </w:rPr>
        <w:t>Fox, J., &amp; Weisberg, S. (2019). An R Companion to Applied Regression (3rd ed.). Sage Publications.</w:t>
      </w:r>
    </w:p>
    <w:p w14:paraId="23AFF652" w14:textId="77777777" w:rsidR="00591412" w:rsidRDefault="00000000">
      <w:pPr>
        <w:spacing w:after="120" w:line="320" w:lineRule="auto"/>
        <w:ind w:left="720" w:hanging="720"/>
        <w:jc w:val="both"/>
      </w:pPr>
      <w:r>
        <w:rPr>
          <w:sz w:val="22"/>
          <w:szCs w:val="22"/>
        </w:rPr>
        <w:t>Gessner, M.O., &amp; Chauvet, E. (1994). Importance of stream microfungi in controlling breakdown rates of leaf litter. Ecology, 75(6), 1807–1817. https://doi.org/10.2307/1939639</w:t>
      </w:r>
    </w:p>
    <w:p w14:paraId="3089801F" w14:textId="77777777" w:rsidR="00591412" w:rsidRDefault="00000000">
      <w:pPr>
        <w:spacing w:after="120" w:line="320" w:lineRule="auto"/>
        <w:ind w:left="720" w:hanging="720"/>
        <w:jc w:val="both"/>
      </w:pPr>
      <w:r>
        <w:rPr>
          <w:sz w:val="22"/>
          <w:szCs w:val="22"/>
        </w:rPr>
        <w:t>Gessner, M.O., &amp; Chauvet, E. (2002). A case for using litter breakdown to assess functional stream integrity. Ecological Applications, 12(2), 498–510. https://doi.org/10.1890/1051-0761(2002)012[0498:ACFULB]2.0.CO;2</w:t>
      </w:r>
    </w:p>
    <w:p w14:paraId="2604F5C6" w14:textId="77777777" w:rsidR="00591412" w:rsidRDefault="00000000">
      <w:pPr>
        <w:spacing w:after="120" w:line="320" w:lineRule="auto"/>
        <w:ind w:left="720" w:hanging="720"/>
        <w:jc w:val="both"/>
      </w:pPr>
      <w:r>
        <w:rPr>
          <w:sz w:val="22"/>
          <w:szCs w:val="22"/>
        </w:rPr>
        <w:t>Gessner, M.O., Chauvet, E., &amp; Dobson, M. (1999). A perspective on leaf litter breakdown in streams. Oikos, 85(2), 377–384. https://doi.org/10.2307/3546505</w:t>
      </w:r>
    </w:p>
    <w:p w14:paraId="27557A38" w14:textId="77777777" w:rsidR="00591412" w:rsidRDefault="00000000">
      <w:pPr>
        <w:spacing w:after="120" w:line="320" w:lineRule="auto"/>
        <w:ind w:left="720" w:hanging="720"/>
        <w:jc w:val="both"/>
      </w:pPr>
      <w:r>
        <w:rPr>
          <w:sz w:val="22"/>
          <w:szCs w:val="22"/>
        </w:rPr>
        <w:t>Gessner, M.O., Suberkropp, K., &amp; Chauvet, E. (1993). Decomposition of plant litter by fungi in marine and freshwater ecosystems. In D.T. Wicklow &amp; B.E. Söderström (Eds.), The Mycota: Systematics and Evolution, Vol. IV (pp. 303–322). Springer.</w:t>
      </w:r>
    </w:p>
    <w:p w14:paraId="153E8AE7" w14:textId="77777777" w:rsidR="00591412" w:rsidRDefault="00000000">
      <w:pPr>
        <w:spacing w:after="120" w:line="320" w:lineRule="auto"/>
        <w:ind w:left="720" w:hanging="720"/>
        <w:jc w:val="both"/>
      </w:pPr>
      <w:r>
        <w:rPr>
          <w:sz w:val="22"/>
          <w:szCs w:val="22"/>
        </w:rPr>
        <w:t>Graça, M.A.S. (2001). The role of invertebrates on leaf litter decomposition in streams, a review. International Review of Hydrobiology, 86(4-5), 383–393. https://doi.org/10.1002/1522-2632(200107)86:4/5&lt;383::AID-IROH383&gt;3.0.CO;2-D</w:t>
      </w:r>
    </w:p>
    <w:p w14:paraId="1B6385DE" w14:textId="77777777" w:rsidR="00591412" w:rsidRDefault="00000000">
      <w:pPr>
        <w:spacing w:after="120" w:line="320" w:lineRule="auto"/>
        <w:ind w:left="720" w:hanging="720"/>
        <w:jc w:val="both"/>
      </w:pPr>
      <w:r>
        <w:rPr>
          <w:sz w:val="22"/>
          <w:szCs w:val="22"/>
        </w:rPr>
        <w:t>Graça, M.A.S., Bärlocher, F., &amp; Gessner, M.O. (Eds.). (2005). Methods to Study Litter Decomposition: A Practical Guide. Springer.</w:t>
      </w:r>
    </w:p>
    <w:p w14:paraId="54134B7C" w14:textId="77777777" w:rsidR="00591412" w:rsidRDefault="00000000">
      <w:pPr>
        <w:spacing w:after="120" w:line="320" w:lineRule="auto"/>
        <w:ind w:left="720" w:hanging="720"/>
        <w:jc w:val="both"/>
      </w:pPr>
      <w:r>
        <w:rPr>
          <w:sz w:val="22"/>
          <w:szCs w:val="22"/>
        </w:rPr>
        <w:t>Graça, M.A.S., Cressa, C., Gessner, M.O., Feio, M.J., Callies, K.A., &amp; Barrios, C. (2001). Food quality, feeding preferences, survival and growth of shredders from temperate and tropical streams. Freshwater Biology, 46(7), 947–957. https://doi.org/10.1046/j.1365-2427.2001.00729.x</w:t>
      </w:r>
    </w:p>
    <w:p w14:paraId="0343AE3A" w14:textId="77777777" w:rsidR="00591412" w:rsidRDefault="00000000">
      <w:pPr>
        <w:spacing w:after="120" w:line="320" w:lineRule="auto"/>
        <w:ind w:left="720" w:hanging="720"/>
        <w:jc w:val="both"/>
      </w:pPr>
      <w:r>
        <w:rPr>
          <w:sz w:val="22"/>
          <w:szCs w:val="22"/>
        </w:rPr>
        <w:t>Gulis, V., &amp; Suberkropp, K. (2003). Leaf litter decomposition and microbial activity in nutrient-enriched and unaltered reaches of a headwater stream. Freshwater Biology, 48(1), 123–134. https://doi.org/10.1046/j.1365-2427.2003.00985.x</w:t>
      </w:r>
    </w:p>
    <w:p w14:paraId="567F9E97" w14:textId="77777777" w:rsidR="00591412" w:rsidRDefault="00000000">
      <w:pPr>
        <w:spacing w:after="120" w:line="320" w:lineRule="auto"/>
        <w:ind w:left="720" w:hanging="720"/>
        <w:jc w:val="both"/>
      </w:pPr>
      <w:r>
        <w:rPr>
          <w:sz w:val="22"/>
          <w:szCs w:val="22"/>
        </w:rPr>
        <w:t>Hair, J.F., Black, W.C., Babin, B.J., &amp; Anderson, R.E. (2019). Multivariate Data Analysis (8th ed.). Cengage Learning.</w:t>
      </w:r>
    </w:p>
    <w:p w14:paraId="78F3F78C" w14:textId="77777777" w:rsidR="00591412" w:rsidRDefault="00000000">
      <w:pPr>
        <w:spacing w:after="120" w:line="320" w:lineRule="auto"/>
        <w:ind w:left="720" w:hanging="720"/>
        <w:jc w:val="both"/>
      </w:pPr>
      <w:r>
        <w:rPr>
          <w:sz w:val="22"/>
          <w:szCs w:val="22"/>
        </w:rPr>
        <w:t>Hines, J., &amp; Feminella, J.W. (2006). Detection of resource limitation in lotic macroinvertebrate assemblages: the role of substrate, predation and detrital subsidies. Freshwater Biology, 51(8), 1507–1521.</w:t>
      </w:r>
    </w:p>
    <w:p w14:paraId="426CADE5" w14:textId="77777777" w:rsidR="00591412" w:rsidRDefault="00000000">
      <w:pPr>
        <w:spacing w:after="120" w:line="320" w:lineRule="auto"/>
        <w:ind w:left="720" w:hanging="720"/>
        <w:jc w:val="both"/>
      </w:pPr>
      <w:r>
        <w:rPr>
          <w:sz w:val="22"/>
          <w:szCs w:val="22"/>
        </w:rPr>
        <w:t>Hofner, B., &amp; Hothorn, T. (2021). stabs: Stability Selection with Error Control, R package version 0.6-4. https://CRAN.R-project.org/package=stabs</w:t>
      </w:r>
    </w:p>
    <w:p w14:paraId="5E580394" w14:textId="77777777" w:rsidR="00591412" w:rsidRDefault="00000000">
      <w:pPr>
        <w:spacing w:after="120" w:line="320" w:lineRule="auto"/>
        <w:ind w:left="720" w:hanging="720"/>
        <w:jc w:val="both"/>
      </w:pPr>
      <w:r>
        <w:rPr>
          <w:sz w:val="22"/>
          <w:szCs w:val="22"/>
        </w:rPr>
        <w:t>Komsta, L., &amp; Novomestky, F. (2022). moments: Moments, cumulants, skewness, kurtosis and related tests, R package version 0.14.1. https://CRAN.R-project.org/package=moments</w:t>
      </w:r>
    </w:p>
    <w:p w14:paraId="718E395A" w14:textId="77777777" w:rsidR="00591412" w:rsidRDefault="00000000">
      <w:pPr>
        <w:spacing w:after="120" w:line="320" w:lineRule="auto"/>
        <w:ind w:left="720" w:hanging="720"/>
        <w:jc w:val="both"/>
      </w:pPr>
      <w:r>
        <w:rPr>
          <w:sz w:val="22"/>
          <w:szCs w:val="22"/>
        </w:rPr>
        <w:t>Lecerf, A., &amp; Chauvet, E. (2008). Intraspecific variability in alder leaf litter decomposability is primarily driven by genetic traits rather than local environment. Oecologia, 157(4), 651–660. https://doi.org/10.1007/s00442-008-1119-y</w:t>
      </w:r>
    </w:p>
    <w:p w14:paraId="783B23CF" w14:textId="77777777" w:rsidR="00591412" w:rsidRDefault="00000000">
      <w:pPr>
        <w:spacing w:after="120" w:line="320" w:lineRule="auto"/>
        <w:ind w:left="720" w:hanging="720"/>
        <w:jc w:val="both"/>
      </w:pPr>
      <w:r>
        <w:rPr>
          <w:sz w:val="22"/>
          <w:szCs w:val="22"/>
        </w:rPr>
        <w:t>Lecerf, A., &amp; Richardson, J.S. (2010). Biodiversity-ecosystem functioning research: insights gained from streams. River Research and Applications, 26(1), 45–54. https://doi.org/10.1002/rra.1328</w:t>
      </w:r>
    </w:p>
    <w:p w14:paraId="0FD9AE9E" w14:textId="77777777" w:rsidR="00591412" w:rsidRDefault="00000000">
      <w:pPr>
        <w:spacing w:after="120" w:line="320" w:lineRule="auto"/>
        <w:ind w:left="720" w:hanging="720"/>
        <w:jc w:val="both"/>
      </w:pPr>
      <w:r>
        <w:rPr>
          <w:sz w:val="22"/>
          <w:szCs w:val="22"/>
        </w:rPr>
        <w:t>Lepori, F., Palm, D., &amp; Malmqvist, B. (2005). Effects of stream restoration on ecosystem functioning: detritus retentiveness and decomposition. Journal of Applied Ecology, 42(2), 228–238. https://doi.org/10.1111/j.1365-2664.2005.01012.x</w:t>
      </w:r>
    </w:p>
    <w:p w14:paraId="2D0CA4F6" w14:textId="77777777" w:rsidR="00591412" w:rsidRDefault="00000000">
      <w:pPr>
        <w:spacing w:after="120" w:line="320" w:lineRule="auto"/>
        <w:ind w:left="720" w:hanging="720"/>
        <w:jc w:val="both"/>
      </w:pPr>
      <w:r>
        <w:rPr>
          <w:sz w:val="22"/>
          <w:szCs w:val="22"/>
        </w:rPr>
        <w:t>Liess, M., Liebmann, L., Vormeier, P., Weisner, O., Altenburger, R., Borchardt, D., et al. (2021). Pesticides are the dominant stressors for vulnerable insects in lowland streams. Water Research, 201, 117262. https://doi.org/10.1016/j.watres.2021.117262</w:t>
      </w:r>
    </w:p>
    <w:p w14:paraId="592148BB" w14:textId="77777777" w:rsidR="00591412" w:rsidRDefault="00000000">
      <w:pPr>
        <w:spacing w:after="120" w:line="320" w:lineRule="auto"/>
        <w:ind w:left="720" w:hanging="720"/>
        <w:jc w:val="both"/>
      </w:pPr>
      <w:r>
        <w:rPr>
          <w:sz w:val="22"/>
          <w:szCs w:val="22"/>
        </w:rPr>
        <w:t>Link, M., Rauschenberger, H., &amp; Schäfer, R.B. (2017). Comparison of dilution factors for German wastewater treatment plants, a national scale analysis. Environmental Science &amp; Technology, 51(11), 6412–6420. https://doi.org/10.1021/acs.est.7b01218</w:t>
      </w:r>
    </w:p>
    <w:p w14:paraId="6CF02631" w14:textId="77777777" w:rsidR="00591412" w:rsidRDefault="00000000">
      <w:pPr>
        <w:spacing w:after="120" w:line="320" w:lineRule="auto"/>
        <w:ind w:left="720" w:hanging="720"/>
        <w:jc w:val="both"/>
      </w:pPr>
      <w:r>
        <w:rPr>
          <w:sz w:val="22"/>
          <w:szCs w:val="22"/>
        </w:rPr>
        <w:t>Lüdecke, D. (2018). ggeffects: Tidy Data Frames of Marginal Effects from Regression Models. Journal of Open Source Software, 3(26), 772. https://doi.org/10.21105/joss.00772</w:t>
      </w:r>
    </w:p>
    <w:p w14:paraId="53F61418" w14:textId="77777777" w:rsidR="00591412" w:rsidRDefault="00000000">
      <w:pPr>
        <w:spacing w:after="120" w:line="320" w:lineRule="auto"/>
        <w:ind w:left="720" w:hanging="720"/>
        <w:jc w:val="both"/>
      </w:pPr>
      <w:r>
        <w:rPr>
          <w:sz w:val="22"/>
          <w:szCs w:val="22"/>
        </w:rPr>
        <w:t>Maharning, A.R., &amp; Bärlocher, F. (1996). Growth and sporulation of aquatic hyphomycetes. Mycologia, 88(1), 80–88. https://doi.org/10.2307/3760793</w:t>
      </w:r>
    </w:p>
    <w:p w14:paraId="226DC4F2" w14:textId="77777777" w:rsidR="00591412" w:rsidRDefault="00000000">
      <w:pPr>
        <w:spacing w:after="120" w:line="320" w:lineRule="auto"/>
        <w:ind w:left="720" w:hanging="720"/>
        <w:jc w:val="both"/>
      </w:pPr>
      <w:r>
        <w:rPr>
          <w:sz w:val="22"/>
          <w:szCs w:val="22"/>
        </w:rPr>
        <w:t>Medina Madariaga, J., Graça, M.A.S., &amp; Ferreira, V. (2024). Multiple-stressor effects on leaf litter decomposition in freshwater: a meta-analysis. Functional Ecology, 38(3), 612–626. https://doi.org/10.1111/1365-2435.14498</w:t>
      </w:r>
    </w:p>
    <w:p w14:paraId="682944CA" w14:textId="77777777" w:rsidR="00591412" w:rsidRDefault="00000000">
      <w:pPr>
        <w:spacing w:after="120" w:line="320" w:lineRule="auto"/>
        <w:ind w:left="720" w:hanging="720"/>
        <w:jc w:val="both"/>
      </w:pPr>
      <w:r>
        <w:rPr>
          <w:sz w:val="22"/>
          <w:szCs w:val="22"/>
        </w:rPr>
        <w:t>Meinshausen, N., &amp; Bühlmann, P. (2010). Stability selection. Journal of the Royal Statistical Society: Series B (Statistical Methodology), 72(4), 417–473. https://doi.org/10.1111/j.1467-9868.2010.00740.x</w:t>
      </w:r>
    </w:p>
    <w:p w14:paraId="1240E129" w14:textId="77777777" w:rsidR="00591412" w:rsidRDefault="00000000">
      <w:pPr>
        <w:spacing w:after="120" w:line="320" w:lineRule="auto"/>
        <w:ind w:left="720" w:hanging="720"/>
        <w:jc w:val="both"/>
      </w:pPr>
      <w:r>
        <w:rPr>
          <w:sz w:val="22"/>
          <w:szCs w:val="22"/>
        </w:rPr>
        <w:t>Mesquita, A., Guimarães, J.B., Ferreira, V., &amp; Cássio, F. (2019). Riparian forest composition shapes stream macroinvertebrate communities and leaf litter decomposition. Science of the Total Environment, 650, 249–258.</w:t>
      </w:r>
    </w:p>
    <w:p w14:paraId="5E0AAB53" w14:textId="77777777" w:rsidR="00591412" w:rsidRDefault="00000000">
      <w:pPr>
        <w:spacing w:after="120" w:line="320" w:lineRule="auto"/>
        <w:ind w:left="720" w:hanging="720"/>
        <w:jc w:val="both"/>
      </w:pPr>
      <w:r>
        <w:rPr>
          <w:sz w:val="22"/>
          <w:szCs w:val="22"/>
        </w:rPr>
        <w:t>Navel, S., Simon, L., Lecuyer, C., Fourel, F., &amp; Mermillod-Blondin, F. (2011). Food processing by freshwater invertebrates: a meta-analysis of qualitative and quantitative aspects of diet. Freshwater Biology, 56(1), 1–17.</w:t>
      </w:r>
    </w:p>
    <w:p w14:paraId="5A5B694A" w14:textId="77777777" w:rsidR="00591412" w:rsidRDefault="00000000">
      <w:pPr>
        <w:spacing w:after="120" w:line="320" w:lineRule="auto"/>
        <w:ind w:left="720" w:hanging="720"/>
        <w:jc w:val="both"/>
      </w:pPr>
      <w:r>
        <w:rPr>
          <w:sz w:val="22"/>
          <w:szCs w:val="22"/>
        </w:rPr>
        <w:t>Nõges, P., Argillier, C., Borja, Á., Garmendia, J.M., Hanganu, J., Kodeš, V., et al. (2016). Quantified biotic and abiotic responses to multiple stress in freshwater, marine and ground waters. Science of the Total Environment, 540, 43–52. https://doi.org/10.1016/j.scitotenv.2015.06.045</w:t>
      </w:r>
    </w:p>
    <w:p w14:paraId="7FE3296D" w14:textId="77777777" w:rsidR="00591412" w:rsidRDefault="00000000">
      <w:pPr>
        <w:spacing w:after="120" w:line="320" w:lineRule="auto"/>
        <w:ind w:left="720" w:hanging="720"/>
        <w:jc w:val="both"/>
      </w:pPr>
      <w:r>
        <w:rPr>
          <w:sz w:val="22"/>
          <w:szCs w:val="22"/>
        </w:rPr>
        <w:t>Pascoal, C., &amp; Cássio, F. (2004). Contribution of fungi and bacteria to leaf litter decomposition in a polluted river. Applied and Environmental Microbiology, 70(9), 5266–5273. https://doi.org/10.1128/AEM.70.9.5266-5273.2004</w:t>
      </w:r>
    </w:p>
    <w:p w14:paraId="48B929DE" w14:textId="77777777" w:rsidR="00591412" w:rsidRDefault="00000000">
      <w:pPr>
        <w:spacing w:after="120" w:line="320" w:lineRule="auto"/>
        <w:ind w:left="720" w:hanging="720"/>
        <w:jc w:val="both"/>
      </w:pPr>
      <w:r>
        <w:rPr>
          <w:sz w:val="22"/>
          <w:szCs w:val="22"/>
        </w:rPr>
        <w:t>Paul, M.J., &amp; Meyer, J.L. (2001). Streams in the urban landscape. Annual Review of Ecology and Systematics, 32, 333–365. https://doi.org/10.1146/annurev.ecolsys.32.081501.114040</w:t>
      </w:r>
    </w:p>
    <w:p w14:paraId="0287F973" w14:textId="77777777" w:rsidR="00591412" w:rsidRDefault="00000000">
      <w:pPr>
        <w:spacing w:after="120" w:line="320" w:lineRule="auto"/>
        <w:ind w:left="720" w:hanging="720"/>
        <w:jc w:val="both"/>
      </w:pPr>
      <w:r>
        <w:rPr>
          <w:sz w:val="22"/>
          <w:szCs w:val="22"/>
        </w:rPr>
        <w:t>Peterson, B.G., &amp; Carl, P. (2020). PerformanceAnalytics: Econometric Tools for Performance and Risk Analysis, R package version 2.0.4. https://CRAN.R-project.org/package=PerformanceAnalytics</w:t>
      </w:r>
    </w:p>
    <w:p w14:paraId="3579756A" w14:textId="77777777" w:rsidR="00591412" w:rsidRDefault="00000000">
      <w:pPr>
        <w:spacing w:after="120" w:line="320" w:lineRule="auto"/>
        <w:ind w:left="720" w:hanging="720"/>
        <w:jc w:val="both"/>
      </w:pPr>
      <w:r>
        <w:rPr>
          <w:sz w:val="22"/>
          <w:szCs w:val="22"/>
        </w:rPr>
        <w:t>Poff, N.L., Olden, J.D., Vieira, N.K.M., Finn, D.S., Simmons, M.P., &amp; Kondratieff, B.C. (2006). Functional trait niches of North American lotic insects: trait-based ecological applications in light of phylogenetic relationships. Journal of the North American Benthological Society, 25(4), 730–755.</w:t>
      </w:r>
    </w:p>
    <w:p w14:paraId="0F9A25AD" w14:textId="77777777" w:rsidR="00591412" w:rsidRDefault="00000000">
      <w:pPr>
        <w:spacing w:after="120" w:line="320" w:lineRule="auto"/>
        <w:ind w:left="720" w:hanging="720"/>
        <w:jc w:val="both"/>
      </w:pPr>
      <w:r>
        <w:rPr>
          <w:sz w:val="22"/>
          <w:szCs w:val="22"/>
        </w:rPr>
        <w:t>Posthuma, L., Suter, G.W., &amp; Traas, T.P. (Eds.). (2002). Species Sensitivity Distributions in Ecotoxicology. CRC Press.</w:t>
      </w:r>
    </w:p>
    <w:p w14:paraId="27A410E0" w14:textId="77777777" w:rsidR="00591412" w:rsidRDefault="00000000">
      <w:pPr>
        <w:spacing w:after="120" w:line="320" w:lineRule="auto"/>
        <w:ind w:left="720" w:hanging="720"/>
        <w:jc w:val="both"/>
      </w:pPr>
      <w:r>
        <w:rPr>
          <w:sz w:val="22"/>
          <w:szCs w:val="22"/>
        </w:rPr>
        <w:t>R Core Team. (2024). R: A Language and Environment for Statistical Computing. R Foundation for Statistical Computing, Vienna, Austria. https://www.R-project.org/</w:t>
      </w:r>
    </w:p>
    <w:p w14:paraId="5C282F99" w14:textId="77777777" w:rsidR="00591412" w:rsidRDefault="00000000">
      <w:pPr>
        <w:spacing w:after="120" w:line="320" w:lineRule="auto"/>
        <w:ind w:left="720" w:hanging="720"/>
        <w:jc w:val="both"/>
      </w:pPr>
      <w:r>
        <w:rPr>
          <w:sz w:val="22"/>
          <w:szCs w:val="22"/>
        </w:rPr>
        <w:t>Raymond, P.A., Hartmann, J., Lauerwald, R., Sobek, S., McDonald, C., Hoover, M., et al. (2013). Global carbon dioxide emissions from inland waters. Nature, 503, 355–359. https://doi.org/10.1038/nature12760</w:t>
      </w:r>
    </w:p>
    <w:p w14:paraId="0CB6F2B4" w14:textId="77777777" w:rsidR="00591412" w:rsidRDefault="00000000">
      <w:pPr>
        <w:spacing w:after="120" w:line="320" w:lineRule="auto"/>
        <w:ind w:left="720" w:hanging="720"/>
        <w:jc w:val="both"/>
      </w:pPr>
      <w:r>
        <w:rPr>
          <w:sz w:val="22"/>
          <w:szCs w:val="22"/>
        </w:rPr>
        <w:t>RESIST Field Project. (2025). Catchment sampling site information: Boye and Kinzig rivers. Unpublished field data and GIS data, University of Duisburg-Essen.</w:t>
      </w:r>
    </w:p>
    <w:p w14:paraId="61898901" w14:textId="77777777" w:rsidR="00591412" w:rsidRDefault="00000000">
      <w:pPr>
        <w:spacing w:after="120" w:line="320" w:lineRule="auto"/>
        <w:ind w:left="720" w:hanging="720"/>
        <w:jc w:val="both"/>
      </w:pPr>
      <w:r>
        <w:rPr>
          <w:sz w:val="22"/>
          <w:szCs w:val="22"/>
        </w:rPr>
        <w:t>Robinson, C.T., &amp; Gessner, M.O. (2000). Nutrient addition accelerates leaf breakdown and alters macroinvertebrate community structure in a mountain stream. Oecologia, 122(3), 369–380. https://doi.org/10.1007/s004420050044</w:t>
      </w:r>
    </w:p>
    <w:p w14:paraId="7459CC3E" w14:textId="77777777" w:rsidR="00591412" w:rsidRDefault="00000000">
      <w:pPr>
        <w:spacing w:after="120" w:line="320" w:lineRule="auto"/>
        <w:ind w:left="720" w:hanging="720"/>
        <w:jc w:val="both"/>
      </w:pPr>
      <w:r>
        <w:rPr>
          <w:sz w:val="22"/>
          <w:szCs w:val="22"/>
        </w:rPr>
        <w:t>Schäfer, R.B., Kefford, B.J., Metzeling, L., Liess, M., Burgert, S., Marchant, R., et al. (2007). A trait database of stream invertebrates for the ecological risk assessment of single and combined effects of salinity and pesticides in South-East Australia. Science of the Total Environment, 406(1-2), 460–468.</w:t>
      </w:r>
    </w:p>
    <w:p w14:paraId="33FD6168" w14:textId="77777777" w:rsidR="00591412" w:rsidRDefault="00000000">
      <w:pPr>
        <w:spacing w:after="120" w:line="320" w:lineRule="auto"/>
        <w:ind w:left="720" w:hanging="720"/>
        <w:jc w:val="both"/>
      </w:pPr>
      <w:r>
        <w:rPr>
          <w:sz w:val="22"/>
          <w:szCs w:val="22"/>
        </w:rPr>
        <w:t>Schäfer, R.B., von der Ohe, P.C., Rasmussen, J., Kefford, B.J., Beketov, M.A., Schulz, R., &amp; Liess, M. (2012). Thresholds for the effects of pesticides on invertebrate communities and leaf breakdown in stream ecosystems. Environmental Science &amp; Technology, 46(9), 5134–5142. https://doi.org/10.1021/es2039882</w:t>
      </w:r>
    </w:p>
    <w:p w14:paraId="1A8EA86D" w14:textId="77777777" w:rsidR="00591412" w:rsidRDefault="00000000">
      <w:pPr>
        <w:spacing w:after="120" w:line="320" w:lineRule="auto"/>
        <w:ind w:left="720" w:hanging="720"/>
        <w:jc w:val="both"/>
      </w:pPr>
      <w:r>
        <w:rPr>
          <w:sz w:val="22"/>
          <w:szCs w:val="22"/>
        </w:rPr>
        <w:t>Schreiner, V.C., Liebmann, L., Feckler, A., Liess, M., Link, M., Schneeweiss, A., Truchy, A., von Tümpling, W., Vormeier, P., Weisner, O., Schäfer, R.B., &amp; Bundschuh, M. (2023). Standard versus natural: assessing the impact of environmental variables on organic matter decomposition in streams using three substrates. Environmental Toxicology and Chemistry, 42(9), 2007–2018. https://doi.org/10.1002/etc.5577</w:t>
      </w:r>
    </w:p>
    <w:p w14:paraId="6DE028AC" w14:textId="77777777" w:rsidR="00591412" w:rsidRDefault="00000000">
      <w:pPr>
        <w:spacing w:after="120" w:line="320" w:lineRule="auto"/>
        <w:ind w:left="720" w:hanging="720"/>
        <w:jc w:val="both"/>
      </w:pPr>
      <w:r>
        <w:rPr>
          <w:sz w:val="22"/>
          <w:szCs w:val="22"/>
        </w:rPr>
        <w:t>Shah, R.D., &amp; Samworth, R.J. (2013). Variable selection with error control: another look at stability selection. Journal of the Royal Statistical Society: Series B (Statistical Methodology), 75(1), 55–80. https://doi.org/10.1111/j.1467-9868.2011.01034.x</w:t>
      </w:r>
    </w:p>
    <w:p w14:paraId="4B854ED6" w14:textId="77777777" w:rsidR="00591412" w:rsidRDefault="00000000">
      <w:pPr>
        <w:spacing w:after="120" w:line="320" w:lineRule="auto"/>
        <w:ind w:left="720" w:hanging="720"/>
        <w:jc w:val="both"/>
      </w:pPr>
      <w:r>
        <w:rPr>
          <w:sz w:val="22"/>
          <w:szCs w:val="22"/>
        </w:rPr>
        <w:t>Sridhar, K.R., &amp; Bärlocher, F. (2000). Initial colonization, nutrient supply, and fungal activity on leaves decaying in streams. Applied and Environmental Microbiology, 66(3), 1114–1119. https://doi.org/10.1128/AEM.66.3.1114-1119.2000</w:t>
      </w:r>
    </w:p>
    <w:p w14:paraId="542E476D" w14:textId="77777777" w:rsidR="00591412" w:rsidRDefault="00000000">
      <w:pPr>
        <w:spacing w:after="120" w:line="320" w:lineRule="auto"/>
        <w:ind w:left="720" w:hanging="720"/>
        <w:jc w:val="both"/>
      </w:pPr>
      <w:r>
        <w:rPr>
          <w:sz w:val="22"/>
          <w:szCs w:val="22"/>
        </w:rPr>
        <w:t>Suberkropp, K., &amp; Chauvet, E. (1995). Regulation of leaf breakdown by fungi in streams: influences of water chemistry. Ecology, 76(5), 1433–1445. https://doi.org/10.2307/1938146</w:t>
      </w:r>
    </w:p>
    <w:p w14:paraId="0E76F8B7" w14:textId="77777777" w:rsidR="00591412" w:rsidRDefault="00000000">
      <w:pPr>
        <w:spacing w:after="120" w:line="320" w:lineRule="auto"/>
        <w:ind w:left="720" w:hanging="720"/>
        <w:jc w:val="both"/>
      </w:pPr>
      <w:r>
        <w:rPr>
          <w:sz w:val="22"/>
          <w:szCs w:val="22"/>
        </w:rPr>
        <w:t>Tachet, H., Richoux, P., Bournaud, M., &amp; Usseglio-Polatera, P. (2010). Invertébrés d'eau douce: systématique, biologie, écologie (2nd ed.). CNRS Éditions.</w:t>
      </w:r>
    </w:p>
    <w:p w14:paraId="05304F56" w14:textId="77777777" w:rsidR="00591412" w:rsidRDefault="00000000">
      <w:pPr>
        <w:spacing w:after="120" w:line="320" w:lineRule="auto"/>
        <w:ind w:left="720" w:hanging="720"/>
        <w:jc w:val="both"/>
      </w:pPr>
      <w:r>
        <w:rPr>
          <w:sz w:val="22"/>
          <w:szCs w:val="22"/>
        </w:rPr>
        <w:t>Tibshirani, R. (1996). Regression shrinkage and selection via the LASSO. Journal of the Royal Statistical Society: Series B (Statistical Methodology), 58(1), 267–288. https://doi.org/10.1111/j.2517-6161.1996.tb02080.x</w:t>
      </w:r>
    </w:p>
    <w:p w14:paraId="29605B54" w14:textId="77777777" w:rsidR="00591412" w:rsidRDefault="00000000">
      <w:pPr>
        <w:spacing w:after="120" w:line="320" w:lineRule="auto"/>
        <w:ind w:left="720" w:hanging="720"/>
        <w:jc w:val="both"/>
      </w:pPr>
      <w:r>
        <w:rPr>
          <w:sz w:val="22"/>
          <w:szCs w:val="22"/>
        </w:rPr>
        <w:t>Vannote, R.L., Minshall, G.W., Cummins, K.W., Sedell, J.R., &amp; Cushing, C.E. (1980). The river continuum concept. Canadian Journal of Fisheries and Aquatic Sciences, 37(1), 130–137. https://doi.org/10.1139/f80-017</w:t>
      </w:r>
    </w:p>
    <w:p w14:paraId="709C6B1F" w14:textId="77777777" w:rsidR="00591412" w:rsidRDefault="00000000">
      <w:pPr>
        <w:spacing w:after="120" w:line="320" w:lineRule="auto"/>
        <w:ind w:left="720" w:hanging="720"/>
        <w:jc w:val="both"/>
      </w:pPr>
      <w:r>
        <w:rPr>
          <w:sz w:val="22"/>
          <w:szCs w:val="22"/>
        </w:rPr>
        <w:t>Voss, K., Nowak, C., Schwenk, K., &amp; Schäfer, R.B. (2015). Investigating the potential of a sediment core approach to assess the historical exposure of freshwater macroinvertebrate communities to pollution. Freshwater Biology, 60(1), 193–206.</w:t>
      </w:r>
    </w:p>
    <w:p w14:paraId="3BC67AA6" w14:textId="77777777" w:rsidR="00591412" w:rsidRDefault="00000000">
      <w:pPr>
        <w:spacing w:after="120" w:line="320" w:lineRule="auto"/>
        <w:ind w:left="720" w:hanging="720"/>
        <w:jc w:val="both"/>
      </w:pPr>
      <w:r>
        <w:rPr>
          <w:sz w:val="22"/>
          <w:szCs w:val="22"/>
        </w:rPr>
        <w:t>Wallace, J.B., Eggert, S.L., Meyer, J.L., &amp; Webster, J.R. (1997). Multiple trophic levels of a forest stream linked to terrestrial litter inputs. Science, 277(5322), 102–104. https://doi.org/10.1126/science.277.5322.102</w:t>
      </w:r>
    </w:p>
    <w:p w14:paraId="485C0BD8" w14:textId="77777777" w:rsidR="00591412" w:rsidRDefault="00000000">
      <w:pPr>
        <w:spacing w:after="120" w:line="320" w:lineRule="auto"/>
        <w:ind w:left="720" w:hanging="720"/>
        <w:jc w:val="both"/>
      </w:pPr>
      <w:r>
        <w:rPr>
          <w:sz w:val="22"/>
          <w:szCs w:val="22"/>
        </w:rPr>
        <w:t>Walsh, C.J., Roy, A.H., Feminella, J.W., Cottingham, P.D., Groffman, P.M., &amp; Morgan, R.P. (2005). The urban stream syndrome: current knowledge and the search for a cure. Journal of the North American Benthological Society, 24(3), 706–723. https://doi.org/10.1899/04-028.1</w:t>
      </w:r>
    </w:p>
    <w:p w14:paraId="0E3F39A2" w14:textId="77777777" w:rsidR="00591412" w:rsidRDefault="00000000">
      <w:pPr>
        <w:spacing w:after="120" w:line="320" w:lineRule="auto"/>
        <w:ind w:left="720" w:hanging="720"/>
        <w:jc w:val="both"/>
      </w:pPr>
      <w:r>
        <w:rPr>
          <w:sz w:val="22"/>
          <w:szCs w:val="22"/>
        </w:rPr>
        <w:t>Webster, J.R., &amp; Benfield, E.F. (1986). Vascular plant breakdown in freshwater ecosystems. Annual Review of Ecology and Systematics, 17, 567–594. https://doi.org/10.1146/annurev.es.17.110186.003031</w:t>
      </w:r>
    </w:p>
    <w:p w14:paraId="2A92BF5D" w14:textId="77777777" w:rsidR="00591412" w:rsidRDefault="00000000">
      <w:pPr>
        <w:spacing w:after="120" w:line="320" w:lineRule="auto"/>
        <w:ind w:left="720" w:hanging="720"/>
        <w:jc w:val="both"/>
      </w:pPr>
      <w:r>
        <w:rPr>
          <w:sz w:val="22"/>
          <w:szCs w:val="22"/>
        </w:rPr>
        <w:t>Wickham, H. (2016). ggplot2: Elegant Graphics for Data Analysis. Springer-Verlag New York. https://ggplot2.tidyverse.org</w:t>
      </w:r>
    </w:p>
    <w:p w14:paraId="5AC41F83" w14:textId="77777777" w:rsidR="00591412" w:rsidRDefault="00000000">
      <w:pPr>
        <w:spacing w:after="120" w:line="320" w:lineRule="auto"/>
        <w:ind w:left="720" w:hanging="720"/>
        <w:jc w:val="both"/>
      </w:pPr>
      <w:r>
        <w:rPr>
          <w:sz w:val="22"/>
          <w:szCs w:val="22"/>
        </w:rPr>
        <w:t>Wickham, H., François, R., Henry, L., Müller, K., &amp; Vaughan, D. (2023). dplyr: A Grammar of Data Manipulation, R package version 1.1.4. https://CRAN.R-project.org/package=dplyr</w:t>
      </w:r>
    </w:p>
    <w:p w14:paraId="30F9BE6E" w14:textId="77777777" w:rsidR="00591412" w:rsidRDefault="00000000">
      <w:pPr>
        <w:spacing w:after="120" w:line="320" w:lineRule="auto"/>
        <w:ind w:left="720" w:hanging="720"/>
        <w:jc w:val="both"/>
      </w:pPr>
      <w:r>
        <w:rPr>
          <w:sz w:val="22"/>
          <w:szCs w:val="22"/>
        </w:rPr>
        <w:t>Wilke, C.O. (2020). cowplot: Streamlined Plot Theme and Plot Annotations for 'ggplot2', R package version 1.1.1. https://CRAN.R-project.org/package=cowplot</w:t>
      </w:r>
    </w:p>
    <w:p w14:paraId="780B53A1" w14:textId="77777777" w:rsidR="00591412" w:rsidRDefault="00000000">
      <w:pPr>
        <w:spacing w:after="120" w:line="320" w:lineRule="auto"/>
        <w:ind w:left="720" w:hanging="720"/>
        <w:jc w:val="both"/>
      </w:pPr>
      <w:r>
        <w:rPr>
          <w:sz w:val="22"/>
          <w:szCs w:val="22"/>
        </w:rPr>
        <w:t>Young, R.G., Matthaei, C.D., &amp; Townsend, C.R. (2008). Organic matter breakdown and ecosystem metabolism: functional indicators for assessing river ecosystem health. Journal of the North American Benthological Society, 27(3), 605–625. https://doi.org/10.1899/07-121.1</w:t>
      </w:r>
    </w:p>
    <w:p w14:paraId="6594473D" w14:textId="77777777" w:rsidR="00591412" w:rsidRDefault="00000000">
      <w:pPr>
        <w:spacing w:after="120" w:line="320" w:lineRule="auto"/>
        <w:ind w:left="720" w:hanging="720"/>
        <w:jc w:val="both"/>
      </w:pPr>
      <w:r>
        <w:rPr>
          <w:sz w:val="22"/>
          <w:szCs w:val="22"/>
        </w:rPr>
        <w:t>Zhang, Y., Dudgeon, D., Cheng, D., Thorp, J.H., Tolosa, D.F., &amp; Tang, T. (2009). Impacts of land use and water quality on macroinvertebrate communities in the Pearl River drainage basin, China. Hydrobiologia, 652(1), 71–88.</w:t>
      </w:r>
    </w:p>
    <w:sectPr w:rsidR="00591412">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62163" w14:textId="77777777" w:rsidR="00330F11" w:rsidRDefault="00330F11">
      <w:r>
        <w:separator/>
      </w:r>
    </w:p>
  </w:endnote>
  <w:endnote w:type="continuationSeparator" w:id="0">
    <w:p w14:paraId="61EDC5DB" w14:textId="77777777" w:rsidR="00330F11" w:rsidRDefault="00330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9FDBB" w14:textId="77777777" w:rsidR="00591412" w:rsidRDefault="00000000">
    <w:pPr>
      <w:jc w:val="center"/>
    </w:pPr>
    <w:r>
      <w:rPr>
        <w:sz w:val="20"/>
        <w:szCs w:val="20"/>
      </w:rPr>
      <w:t xml:space="preserve">— </w:t>
    </w:r>
    <w:r>
      <w:rPr>
        <w:sz w:val="20"/>
        <w:szCs w:val="20"/>
      </w:rPr>
      <w:fldChar w:fldCharType="begin"/>
    </w:r>
    <w:r>
      <w:rPr>
        <w:sz w:val="20"/>
        <w:szCs w:val="20"/>
      </w:rPr>
      <w:instrText>PAGE</w:instrText>
    </w:r>
    <w:r>
      <w:rPr>
        <w:sz w:val="20"/>
        <w:szCs w:val="20"/>
      </w:rPr>
      <w:fldChar w:fldCharType="separate"/>
    </w:r>
    <w:r>
      <w:rPr>
        <w:sz w:val="20"/>
        <w:szCs w:val="20"/>
      </w:rPr>
      <w:fldChar w:fldCharType="end"/>
    </w: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9E3FB" w14:textId="77777777" w:rsidR="00330F11" w:rsidRDefault="00330F11">
      <w:r>
        <w:separator/>
      </w:r>
    </w:p>
  </w:footnote>
  <w:footnote w:type="continuationSeparator" w:id="0">
    <w:p w14:paraId="66744DFB" w14:textId="77777777" w:rsidR="00330F11" w:rsidRDefault="00330F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62C08" w14:textId="77777777" w:rsidR="00591412" w:rsidRDefault="00000000">
    <w:pPr>
      <w:jc w:val="right"/>
    </w:pPr>
    <w:r>
      <w:rPr>
        <w:color w:val="888888"/>
        <w:sz w:val="18"/>
        <w:szCs w:val="18"/>
      </w:rPr>
      <w:t>Agube, I.S. (2025) — Leaf Decomposition: Boye and Kinzig Catchments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70FD7"/>
    <w:multiLevelType w:val="hybridMultilevel"/>
    <w:tmpl w:val="FFFFFFFF"/>
    <w:lvl w:ilvl="0" w:tplc="DE0E67FC">
      <w:start w:val="1"/>
      <w:numFmt w:val="bullet"/>
      <w:lvlText w:val="●"/>
      <w:lvlJc w:val="left"/>
      <w:pPr>
        <w:ind w:left="720" w:hanging="360"/>
      </w:pPr>
    </w:lvl>
    <w:lvl w:ilvl="1" w:tplc="B67415F6">
      <w:start w:val="1"/>
      <w:numFmt w:val="bullet"/>
      <w:lvlText w:val="○"/>
      <w:lvlJc w:val="left"/>
      <w:pPr>
        <w:ind w:left="1440" w:hanging="360"/>
      </w:pPr>
    </w:lvl>
    <w:lvl w:ilvl="2" w:tplc="CC72DEB6">
      <w:start w:val="1"/>
      <w:numFmt w:val="bullet"/>
      <w:lvlText w:val="■"/>
      <w:lvlJc w:val="left"/>
      <w:pPr>
        <w:ind w:left="2160" w:hanging="360"/>
      </w:pPr>
    </w:lvl>
    <w:lvl w:ilvl="3" w:tplc="89EC9D72">
      <w:start w:val="1"/>
      <w:numFmt w:val="bullet"/>
      <w:lvlText w:val="●"/>
      <w:lvlJc w:val="left"/>
      <w:pPr>
        <w:ind w:left="2880" w:hanging="360"/>
      </w:pPr>
    </w:lvl>
    <w:lvl w:ilvl="4" w:tplc="C45A3F7E">
      <w:start w:val="1"/>
      <w:numFmt w:val="bullet"/>
      <w:lvlText w:val="○"/>
      <w:lvlJc w:val="left"/>
      <w:pPr>
        <w:ind w:left="3600" w:hanging="360"/>
      </w:pPr>
    </w:lvl>
    <w:lvl w:ilvl="5" w:tplc="173CA214">
      <w:start w:val="1"/>
      <w:numFmt w:val="bullet"/>
      <w:lvlText w:val="■"/>
      <w:lvlJc w:val="left"/>
      <w:pPr>
        <w:ind w:left="4320" w:hanging="360"/>
      </w:pPr>
    </w:lvl>
    <w:lvl w:ilvl="6" w:tplc="57BC43B2">
      <w:start w:val="1"/>
      <w:numFmt w:val="bullet"/>
      <w:lvlText w:val="●"/>
      <w:lvlJc w:val="left"/>
      <w:pPr>
        <w:ind w:left="5040" w:hanging="360"/>
      </w:pPr>
    </w:lvl>
    <w:lvl w:ilvl="7" w:tplc="8762591A">
      <w:start w:val="1"/>
      <w:numFmt w:val="bullet"/>
      <w:lvlText w:val="●"/>
      <w:lvlJc w:val="left"/>
      <w:pPr>
        <w:ind w:left="5760" w:hanging="360"/>
      </w:pPr>
    </w:lvl>
    <w:lvl w:ilvl="8" w:tplc="C6EA7D90">
      <w:start w:val="1"/>
      <w:numFmt w:val="bullet"/>
      <w:lvlText w:val="●"/>
      <w:lvlJc w:val="left"/>
      <w:pPr>
        <w:ind w:left="6480" w:hanging="360"/>
      </w:pPr>
    </w:lvl>
  </w:abstractNum>
  <w:num w:numId="1" w16cid:durableId="1021668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412"/>
    <w:rsid w:val="0013389C"/>
    <w:rsid w:val="00330F11"/>
    <w:rsid w:val="00591412"/>
    <w:rsid w:val="00692BA1"/>
    <w:rsid w:val="00D4638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1998A82"/>
  <w15:docId w15:val="{463FEB2A-C306-0848-858C-6FD942FE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10198</Words>
  <Characters>58131</Characters>
  <Application>Microsoft Office Word</Application>
  <DocSecurity>0</DocSecurity>
  <Lines>484</Lines>
  <Paragraphs>136</Paragraphs>
  <ScaleCrop>false</ScaleCrop>
  <Company/>
  <LinksUpToDate>false</LinksUpToDate>
  <CharactersWithSpaces>68193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Ikenna Agube</cp:lastModifiedBy>
  <cp:revision>3</cp:revision>
  <dcterms:created xsi:type="dcterms:W3CDTF">2026-03-30T08:55:00Z</dcterms:created>
  <dcterms:modified xsi:type="dcterms:W3CDTF">2026-03-31T07:15:00Z</dcterms:modified>
</cp:coreProperties>
</file>