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i w:val="0"/>
          <w:color w:val="1F497D"/>
          <w:sz w:val="36"/>
        </w:rPr>
        <w:t>SFB Field Studies – Physico-Chemical Data</w:t>
      </w:r>
    </w:p>
    <w:p>
      <w:pPr>
        <w:jc w:val="center"/>
      </w:pPr>
      <w:r>
        <w:rPr>
          <w:rFonts w:ascii="Arial" w:hAnsi="Arial"/>
          <w:b w:val="0"/>
          <w:i w:val="0"/>
          <w:color w:val="595959"/>
          <w:sz w:val="26"/>
        </w:rPr>
        <w:t>Data Handling, Analysis &amp; Metadata Documentation</w:t>
      </w:r>
    </w:p>
    <w:p/>
    <w:p>
      <w:pPr>
        <w:jc w:val="center"/>
      </w:pPr>
      <w:r>
        <w:rPr>
          <w:rFonts w:ascii="Arial" w:hAnsi="Arial"/>
          <w:b/>
          <w:i w:val="0"/>
          <w:color w:val="2F75B5"/>
          <w:sz w:val="24"/>
        </w:rPr>
        <w:t>Boye River &amp; Kinzig River  |  March 2025</w:t>
      </w:r>
    </w:p>
    <w:p/>
    <w:p>
      <w:pPr>
        <w:jc w:val="center"/>
      </w:pPr>
      <w:r>
        <w:rPr>
          <w:rFonts w:ascii="Arial" w:hAnsi="Arial"/>
          <w:b w:val="0"/>
          <w:i w:val="0"/>
          <w:color w:val="808080"/>
          <w:sz w:val="22"/>
        </w:rPr>
        <w:t>Prepared: March 2026</w:t>
      </w:r>
    </w:p>
    <w:p>
      <w:r>
        <w:br w:type="page"/>
      </w:r>
    </w:p>
    <w:p>
      <w:pPr>
        <w:pBdr>
          <w:bottom w:val="single" w:sz="6" w:space="4" w:color="1F497D"/>
        </w:pBdr>
        <w:spacing w:before="360" w:after="120"/>
      </w:pPr>
      <w:r>
        <w:rPr>
          <w:rFonts w:ascii="Arial" w:hAnsi="Arial"/>
          <w:b/>
          <w:i w:val="0"/>
          <w:color w:val="1F497D"/>
          <w:sz w:val="28"/>
        </w:rPr>
        <w:t>1. Data Sources</w:t>
      </w:r>
    </w:p>
    <w:p>
      <w:pPr>
        <w:spacing w:after="120" w:before="0"/>
        <w:jc w:val="both"/>
      </w:pPr>
      <w:r>
        <w:rPr>
          <w:rFonts w:ascii="Arial" w:hAnsi="Arial"/>
          <w:b w:val="0"/>
          <w:i w:val="0"/>
          <w:sz w:val="22"/>
        </w:rPr>
        <w:t>The physico-chemical data used in this study were obtained from two SFB field study datasets covering the Boye River and the Kinzig River systems in Germany. Both datasets were compiled and last updated on 28 January 2026. The files contain continuous monitoring records collected by field and laboratory teams at multiple sites along each river catchment.</w:t>
      </w:r>
    </w:p>
    <w:tbl>
      <w:tblPr>
        <w:tblW w:type="auto" w:w="0"/>
        <w:jc w:val="center"/>
        <w:tblLook w:firstColumn="1" w:firstRow="1" w:lastColumn="0" w:lastRow="0" w:noHBand="0" w:noVBand="1" w:val="04A0"/>
      </w:tblPr>
      <w:tblGrid>
        <w:gridCol w:w="2196"/>
        <w:gridCol w:w="2196"/>
        <w:gridCol w:w="2196"/>
        <w:gridCol w:w="2196"/>
      </w:tblGrid>
      <w:tr>
        <w:tc>
          <w:tcPr>
            <w:tcW w:type="dxa" w:w="4608"/>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File</w:t>
            </w:r>
          </w:p>
        </w:tc>
        <w:tc>
          <w:tcPr>
            <w:tcW w:type="dxa" w:w="1296"/>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River</w:t>
            </w:r>
          </w:p>
        </w:tc>
        <w:tc>
          <w:tcPr>
            <w:tcW w:type="dxa" w:w="1584"/>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Last Updated</w:t>
            </w:r>
          </w:p>
        </w:tc>
        <w:tc>
          <w:tcPr>
            <w:tcW w:type="dxa" w:w="2304"/>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Measurement Period</w:t>
            </w:r>
          </w:p>
        </w:tc>
      </w:tr>
      <w:tr>
        <w:tc>
          <w:tcPr>
            <w:tcW w:type="dxa" w:w="4608"/>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SFB_FieldStudies_PhysicoChemicalData_Boye_2026-01-28.xlsx</w:t>
            </w:r>
          </w:p>
        </w:tc>
        <w:tc>
          <w:tcPr>
            <w:tcW w:type="dxa" w:w="1296"/>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Boye</w:t>
            </w:r>
          </w:p>
        </w:tc>
        <w:tc>
          <w:tcPr>
            <w:tcW w:type="dxa" w:w="1584"/>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28 Jan 2026</w:t>
            </w:r>
          </w:p>
        </w:tc>
        <w:tc>
          <w:tcPr>
            <w:tcW w:type="dxa" w:w="2304"/>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Apr 2021 – Dec 2025</w:t>
            </w:r>
          </w:p>
        </w:tc>
      </w:tr>
      <w:tr>
        <w:tc>
          <w:tcPr>
            <w:tcW w:type="dxa" w:w="4608"/>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SFB_FieldStudies_PhysicoChemicalData_Kinzig_2026-01-28.xlsx</w:t>
            </w:r>
          </w:p>
        </w:tc>
        <w:tc>
          <w:tcPr>
            <w:tcW w:type="dxa" w:w="1296"/>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Kinzig</w:t>
            </w:r>
          </w:p>
        </w:tc>
        <w:tc>
          <w:tcPr>
            <w:tcW w:type="dxa" w:w="1584"/>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28 Jan 2026</w:t>
            </w:r>
          </w:p>
        </w:tc>
        <w:tc>
          <w:tcPr>
            <w:tcW w:type="dxa" w:w="2304"/>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Apr 2021 – Jun 2025</w:t>
            </w:r>
          </w:p>
        </w:tc>
      </w:tr>
    </w:tbl>
    <w:p/>
    <w:p>
      <w:pPr>
        <w:pBdr>
          <w:bottom w:val="single" w:sz="6" w:space="4" w:color="1F497D"/>
        </w:pBdr>
        <w:spacing w:before="360" w:after="120"/>
      </w:pPr>
      <w:r>
        <w:rPr>
          <w:rFonts w:ascii="Arial" w:hAnsi="Arial"/>
          <w:b/>
          <w:i w:val="0"/>
          <w:color w:val="1F497D"/>
          <w:sz w:val="28"/>
        </w:rPr>
        <w:t>2. Data Structure</w:t>
      </w:r>
    </w:p>
    <w:p>
      <w:pPr>
        <w:spacing w:after="120" w:before="0"/>
        <w:jc w:val="both"/>
      </w:pPr>
      <w:r>
        <w:rPr>
          <w:rFonts w:ascii="Arial" w:hAnsi="Arial"/>
          <w:b w:val="0"/>
          <w:i w:val="0"/>
          <w:sz w:val="22"/>
        </w:rPr>
        <w:t>Each Excel file contains five worksheets. Three worksheets hold the primary measurement data used in this study, one contains annual field snapshots, and one is an internal date reference used by the data providers.</w:t>
      </w:r>
    </w:p>
    <w:tbl>
      <w:tblPr>
        <w:tblW w:type="auto" w:w="0"/>
        <w:jc w:val="center"/>
        <w:tblLook w:firstColumn="1" w:firstRow="1" w:lastColumn="0" w:lastRow="0" w:noHBand="0" w:noVBand="1" w:val="04A0"/>
      </w:tblPr>
      <w:tblGrid>
        <w:gridCol w:w="2928"/>
        <w:gridCol w:w="2928"/>
        <w:gridCol w:w="2928"/>
      </w:tblGrid>
      <w:tr>
        <w:tc>
          <w:tcPr>
            <w:tcW w:type="dxa" w:w="2448"/>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Sheet Name</w:t>
            </w:r>
          </w:p>
        </w:tc>
        <w:tc>
          <w:tcPr>
            <w:tcW w:type="dxa" w:w="2016"/>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Sampling Frequency</w:t>
            </w:r>
          </w:p>
        </w:tc>
        <w:tc>
          <w:tcPr>
            <w:tcW w:type="dxa" w:w="5328"/>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Content Description</w:t>
            </w:r>
          </w:p>
        </w:tc>
      </w:tr>
      <w:tr>
        <w:tc>
          <w:tcPr>
            <w:tcW w:type="dxa" w:w="2448"/>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field | bi-weekly</w:t>
            </w:r>
          </w:p>
        </w:tc>
        <w:tc>
          <w:tcPr>
            <w:tcW w:type="dxa" w:w="2016"/>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Every ~2 weeks</w:t>
            </w:r>
          </w:p>
        </w:tc>
        <w:tc>
          <w:tcPr>
            <w:tcW w:type="dxa" w:w="5328"/>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In-situ field measurements: pH, conductivity, dissolved oxygen, water temperature, water level</w:t>
            </w:r>
          </w:p>
        </w:tc>
      </w:tr>
      <w:tr>
        <w:tc>
          <w:tcPr>
            <w:tcW w:type="dxa" w:w="2448"/>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lab | bi-weekly</w:t>
            </w:r>
          </w:p>
        </w:tc>
        <w:tc>
          <w:tcPr>
            <w:tcW w:type="dxa" w:w="2016"/>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Every ~2 weeks</w:t>
            </w:r>
          </w:p>
        </w:tc>
        <w:tc>
          <w:tcPr>
            <w:tcW w:type="dxa" w:w="5328"/>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Laboratory water chemistry: nutrients (phosphate, nitrogen, ammonia, nitrite, nitrate), chloride, sulfate</w:t>
            </w:r>
          </w:p>
        </w:tc>
      </w:tr>
      <w:tr>
        <w:tc>
          <w:tcPr>
            <w:tcW w:type="dxa" w:w="2448"/>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lab | once a month</w:t>
            </w:r>
          </w:p>
        </w:tc>
        <w:tc>
          <w:tcPr>
            <w:tcW w:type="dxa" w:w="2016"/>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Monthly</w:t>
            </w:r>
          </w:p>
        </w:tc>
        <w:tc>
          <w:tcPr>
            <w:tcW w:type="dxa" w:w="5328"/>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Laboratory trace metals and major ions: Cd, Cu, Fe, Ni, Pb, Zn, Ca, Mg, Na, K, carbonate, bicarbonate</w:t>
            </w:r>
          </w:p>
        </w:tc>
      </w:tr>
      <w:tr>
        <w:tc>
          <w:tcPr>
            <w:tcW w:type="dxa" w:w="2448"/>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field | once a year</w:t>
            </w:r>
          </w:p>
        </w:tc>
        <w:tc>
          <w:tcPr>
            <w:tcW w:type="dxa" w:w="2016"/>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Annual</w:t>
            </w:r>
          </w:p>
        </w:tc>
        <w:tc>
          <w:tcPr>
            <w:tcW w:type="dxa" w:w="5328"/>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Annual field survey — not used in this analysis</w:t>
            </w:r>
          </w:p>
        </w:tc>
      </w:tr>
      <w:tr>
        <w:tc>
          <w:tcPr>
            <w:tcW w:type="dxa" w:w="2448"/>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#dates#</w:t>
            </w:r>
          </w:p>
        </w:tc>
        <w:tc>
          <w:tcPr>
            <w:tcW w:type="dxa" w:w="2016"/>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Reference</w:t>
            </w:r>
          </w:p>
        </w:tc>
        <w:tc>
          <w:tcPr>
            <w:tcW w:type="dxa" w:w="5328"/>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Internal sampling date calendar — not used in this analysis</w:t>
            </w:r>
          </w:p>
        </w:tc>
      </w:tr>
    </w:tbl>
    <w:p/>
    <w:p>
      <w:pPr>
        <w:pBdr>
          <w:bottom w:val="single" w:sz="6" w:space="4" w:color="1F497D"/>
        </w:pBdr>
        <w:spacing w:before="360" w:after="120"/>
      </w:pPr>
      <w:r>
        <w:rPr>
          <w:rFonts w:ascii="Arial" w:hAnsi="Arial"/>
          <w:b/>
          <w:i w:val="0"/>
          <w:color w:val="1F497D"/>
          <w:sz w:val="28"/>
        </w:rPr>
        <w:t>3. Data Processing Steps</w:t>
      </w:r>
    </w:p>
    <w:p>
      <w:pPr>
        <w:spacing w:after="120" w:before="0"/>
        <w:jc w:val="both"/>
      </w:pPr>
      <w:r>
        <w:rPr>
          <w:rFonts w:ascii="Arial" w:hAnsi="Arial"/>
          <w:b w:val="0"/>
          <w:i w:val="0"/>
          <w:sz w:val="22"/>
        </w:rPr>
        <w:t>All data processing was performed in R using the readxl, dplyr, lubridate, and writexl packages. The following steps were applied identically to both the Boye and Kinzig datasets.</w:t>
      </w:r>
    </w:p>
    <w:p>
      <w:pPr>
        <w:spacing w:before="240" w:after="80"/>
      </w:pPr>
      <w:r>
        <w:rPr>
          <w:rFonts w:ascii="Arial" w:hAnsi="Arial"/>
          <w:b/>
          <w:i w:val="0"/>
          <w:color w:val="2F75B5"/>
          <w:sz w:val="24"/>
        </w:rPr>
        <w:t>3.1  Reading and Parsing</w:t>
      </w:r>
    </w:p>
    <w:p>
      <w:pPr>
        <w:spacing w:after="120" w:before="0"/>
        <w:jc w:val="both"/>
      </w:pPr>
      <w:r>
        <w:rPr>
          <w:rFonts w:ascii="Arial" w:hAnsi="Arial"/>
          <w:b w:val="0"/>
          <w:i w:val="0"/>
          <w:sz w:val="22"/>
        </w:rPr>
        <w:t>Raw Excel sheets contain three header rows: a merged category row, a column name row, and a units row. Data were read by skipping the first three rows and extracting column names from row one. Since the raw header row contains more columns than the data rows (due to trailing empty cells), column names were trimmed to match the actual data width before assignment. All column names were passed through R's make.names() function to produce syntactically valid R identifiers.</w:t>
      </w:r>
    </w:p>
    <w:p>
      <w:pPr>
        <w:spacing w:before="240" w:after="80"/>
      </w:pPr>
      <w:r>
        <w:rPr>
          <w:rFonts w:ascii="Arial" w:hAnsi="Arial"/>
          <w:b/>
          <w:i w:val="0"/>
          <w:color w:val="2F75B5"/>
          <w:sz w:val="24"/>
        </w:rPr>
        <w:t>3.2  Temporal Filtering</w:t>
      </w:r>
    </w:p>
    <w:p>
      <w:pPr>
        <w:spacing w:after="120" w:before="0"/>
        <w:jc w:val="both"/>
      </w:pPr>
      <w:r>
        <w:rPr>
          <w:rFonts w:ascii="Arial" w:hAnsi="Arial"/>
          <w:b w:val="0"/>
          <w:i w:val="0"/>
          <w:sz w:val="22"/>
        </w:rPr>
        <w:t>Records were filtered to retain only observations from March 2025. Date parsing was applied using the lubridate package and rows with missing or invalid dates were excluded.</w:t>
      </w:r>
    </w:p>
    <w:p>
      <w:pPr>
        <w:spacing w:before="240" w:after="80"/>
      </w:pPr>
      <w:r>
        <w:rPr>
          <w:rFonts w:ascii="Arial" w:hAnsi="Arial"/>
          <w:b/>
          <w:i w:val="0"/>
          <w:color w:val="2F75B5"/>
          <w:sz w:val="24"/>
        </w:rPr>
        <w:t>3.3  Site-Level Aggregation</w:t>
      </w:r>
    </w:p>
    <w:p>
      <w:pPr>
        <w:spacing w:after="120" w:before="0"/>
        <w:jc w:val="both"/>
      </w:pPr>
      <w:r>
        <w:rPr>
          <w:rFonts w:ascii="Arial" w:hAnsi="Arial"/>
          <w:b w:val="0"/>
          <w:i w:val="0"/>
          <w:sz w:val="22"/>
        </w:rPr>
        <w:t>The bi-weekly and monthly sampling schedules resulted in two sampling rounds within March 2025 for both the lab bi-weekly and lab monthly sheets (Boye: 4 March and 17 March; Kinzig: 10 March and 24 March). The field bi-weekly sheet contained a single sampling round per river (Boye: 4 March; Kinzig: 10 March). To produce one representative value per site, all numeric parameters were aggregated by site using the arithmetic mean across available sampling rounds. Missing values were excluded from mean calculations.</w:t>
      </w:r>
    </w:p>
    <w:p>
      <w:pPr>
        <w:spacing w:before="240" w:after="80"/>
      </w:pPr>
      <w:r>
        <w:rPr>
          <w:rFonts w:ascii="Arial" w:hAnsi="Arial"/>
          <w:b/>
          <w:i w:val="0"/>
          <w:color w:val="2F75B5"/>
          <w:sz w:val="24"/>
        </w:rPr>
        <w:t>3.4  Column Cleaning</w:t>
      </w:r>
    </w:p>
    <w:p>
      <w:pPr>
        <w:spacing w:after="120" w:before="0"/>
        <w:jc w:val="both"/>
      </w:pPr>
      <w:r>
        <w:rPr>
          <w:rFonts w:ascii="Arial" w:hAnsi="Arial"/>
          <w:b w:val="0"/>
          <w:i w:val="0"/>
          <w:sz w:val="22"/>
        </w:rPr>
        <w:t>The following columns were removed as they contained no analytical data for the study period: Code (internal sampling code), missing data (missing value count flag), all remark columns (pH remark, oxygen remark, temperature remark), time, notes, DOC (entirely absent for both rivers), and turbidity/fine sediment load (entirely absent). Remaining columns were renamed to follow a consistent snake_case convention with measurement units embedded in the column name (e.g., nitrate_mg_l, water_temp_degC).</w:t>
      </w:r>
    </w:p>
    <w:p>
      <w:pPr>
        <w:spacing w:before="240" w:after="80"/>
      </w:pPr>
      <w:r>
        <w:rPr>
          <w:rFonts w:ascii="Arial" w:hAnsi="Arial"/>
          <w:b/>
          <w:i w:val="0"/>
          <w:color w:val="2F75B5"/>
          <w:sz w:val="24"/>
        </w:rPr>
        <w:t>3.5  Dataset Integration</w:t>
      </w:r>
    </w:p>
    <w:p>
      <w:pPr>
        <w:spacing w:after="120" w:before="0"/>
        <w:jc w:val="both"/>
      </w:pPr>
      <w:r>
        <w:rPr>
          <w:rFonts w:ascii="Arial" w:hAnsi="Arial"/>
          <w:b w:val="0"/>
          <w:i w:val="0"/>
          <w:sz w:val="22"/>
        </w:rPr>
        <w:t>The three cleaned and aggregated sheets (field bi-weekly, lab bi-weekly, lab monthly) were joined into a single data frame using site as the common key via a full join, preserving all sites regardless of availability across sheets. The final dataset contains one row per monitoring site with all physico-chemical parameters as columns.</w:t>
      </w:r>
    </w:p>
    <w:p>
      <w:pPr>
        <w:spacing w:before="240" w:after="80"/>
      </w:pPr>
      <w:r>
        <w:rPr>
          <w:rFonts w:ascii="Arial" w:hAnsi="Arial"/>
          <w:b/>
          <w:i w:val="0"/>
          <w:color w:val="2F75B5"/>
          <w:sz w:val="24"/>
        </w:rPr>
        <w:t>3.6  Numeric Formatting</w:t>
      </w:r>
    </w:p>
    <w:p>
      <w:pPr>
        <w:spacing w:after="120" w:before="0"/>
        <w:jc w:val="both"/>
      </w:pPr>
      <w:r>
        <w:rPr>
          <w:rFonts w:ascii="Arial" w:hAnsi="Arial"/>
          <w:b w:val="0"/>
          <w:i w:val="0"/>
          <w:sz w:val="22"/>
        </w:rPr>
        <w:t>Scientific notation was disabled globally. Numeric values were rounded to an appropriate number of decimal places based on measurement precision: 2 decimal places for pH and temperature; 1 decimal place for conductivity, oxygen saturation and water level; 3-4 decimal places for nutrient concentrations; and 6 decimal places for trace metals where values approach detection limits.</w:t>
      </w:r>
    </w:p>
    <w:p>
      <w:r>
        <w:br w:type="page"/>
      </w:r>
    </w:p>
    <w:p>
      <w:pPr>
        <w:pBdr>
          <w:bottom w:val="single" w:sz="6" w:space="4" w:color="1F497D"/>
        </w:pBdr>
        <w:spacing w:before="360" w:after="120"/>
      </w:pPr>
      <w:r>
        <w:rPr>
          <w:rFonts w:ascii="Arial" w:hAnsi="Arial"/>
          <w:b/>
          <w:i w:val="0"/>
          <w:color w:val="1F497D"/>
          <w:sz w:val="28"/>
        </w:rPr>
        <w:t>4. Metadata: Variable Descriptions</w:t>
      </w:r>
    </w:p>
    <w:p>
      <w:pPr>
        <w:spacing w:after="120" w:before="0"/>
        <w:jc w:val="both"/>
      </w:pPr>
      <w:r>
        <w:rPr>
          <w:rFonts w:ascii="Arial" w:hAnsi="Arial"/>
          <w:b w:val="0"/>
          <w:i w:val="0"/>
          <w:sz w:val="22"/>
        </w:rPr>
        <w:t>The table below describes all variables present in the final cleaned and integrated dataset for both the Boye and Kinzig rivers.</w:t>
      </w:r>
    </w:p>
    <w:p>
      <w:pPr>
        <w:spacing w:before="240" w:after="80"/>
      </w:pPr>
      <w:r>
        <w:rPr>
          <w:rFonts w:ascii="Arial" w:hAnsi="Arial"/>
          <w:b/>
          <w:i w:val="0"/>
          <w:color w:val="2F75B5"/>
          <w:sz w:val="24"/>
        </w:rPr>
        <w:t>4.1  Site Identifier</w:t>
      </w:r>
    </w:p>
    <w:tbl>
      <w:tblPr>
        <w:tblW w:type="auto" w:w="0"/>
        <w:jc w:val="center"/>
        <w:tblLook w:firstColumn="1" w:firstRow="1" w:lastColumn="0" w:lastRow="0" w:noHBand="0" w:noVBand="1" w:val="04A0"/>
      </w:tblPr>
      <w:tblGrid>
        <w:gridCol w:w="2196"/>
        <w:gridCol w:w="2196"/>
        <w:gridCol w:w="2196"/>
        <w:gridCol w:w="2196"/>
      </w:tblGrid>
      <w:tr>
        <w:tc>
          <w:tcPr>
            <w:tcW w:type="dxa" w:w="2160"/>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Variable</w:t>
            </w:r>
          </w:p>
        </w:tc>
        <w:tc>
          <w:tcPr>
            <w:tcW w:type="dxa" w:w="864"/>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Unit</w:t>
            </w:r>
          </w:p>
        </w:tc>
        <w:tc>
          <w:tcPr>
            <w:tcW w:type="dxa" w:w="1872"/>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Source Sheet</w:t>
            </w:r>
          </w:p>
        </w:tc>
        <w:tc>
          <w:tcPr>
            <w:tcW w:type="dxa" w:w="4896"/>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Description</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site</w:t>
            </w:r>
          </w:p>
        </w:tc>
        <w:tc>
          <w:tcPr>
            <w:tcW w:type="dxa" w:w="864"/>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w:t>
            </w:r>
          </w:p>
        </w:tc>
        <w:tc>
          <w:tcPr>
            <w:tcW w:type="dxa" w:w="187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All sheets</w:t>
            </w:r>
          </w:p>
        </w:tc>
        <w:tc>
          <w:tcPr>
            <w:tcW w:type="dxa" w:w="4896"/>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Unique site identifier code assigned by the field team. Each code encodes the river and location (e.g., BOYkl = Boye, small tributary; KIN1 = Kinzig, site 1).</w:t>
            </w:r>
          </w:p>
        </w:tc>
      </w:tr>
    </w:tbl>
    <w:p/>
    <w:p>
      <w:pPr>
        <w:spacing w:before="240" w:after="80"/>
      </w:pPr>
      <w:r>
        <w:rPr>
          <w:rFonts w:ascii="Arial" w:hAnsi="Arial"/>
          <w:b/>
          <w:i w:val="0"/>
          <w:color w:val="2F75B5"/>
          <w:sz w:val="24"/>
        </w:rPr>
        <w:t>4.2  Field Measurements (field | bi-weekly)</w:t>
      </w:r>
    </w:p>
    <w:tbl>
      <w:tblPr>
        <w:tblW w:type="auto" w:w="0"/>
        <w:jc w:val="center"/>
        <w:tblLook w:firstColumn="1" w:firstRow="1" w:lastColumn="0" w:lastRow="0" w:noHBand="0" w:noVBand="1" w:val="04A0"/>
      </w:tblPr>
      <w:tblGrid>
        <w:gridCol w:w="2928"/>
        <w:gridCol w:w="2928"/>
        <w:gridCol w:w="2928"/>
      </w:tblGrid>
      <w:tr>
        <w:tc>
          <w:tcPr>
            <w:tcW w:type="dxa" w:w="2736"/>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Variable</w:t>
            </w:r>
          </w:p>
        </w:tc>
        <w:tc>
          <w:tcPr>
            <w:tcW w:type="dxa" w:w="1152"/>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Unit</w:t>
            </w:r>
          </w:p>
        </w:tc>
        <w:tc>
          <w:tcPr>
            <w:tcW w:type="dxa" w:w="5904"/>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Description</w:t>
            </w:r>
          </w:p>
        </w:tc>
      </w:tr>
      <w:tr>
        <w:tc>
          <w:tcPr>
            <w:tcW w:type="dxa" w:w="2736"/>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pH_dimensionless</w:t>
            </w:r>
          </w:p>
        </w:tc>
        <w:tc>
          <w:tcPr>
            <w:tcW w:type="dxa" w:w="115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w:t>
            </w:r>
          </w:p>
        </w:tc>
        <w:tc>
          <w:tcPr>
            <w:tcW w:type="dxa" w:w="5904"/>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Acidity/alkalinity of the water. Values below 7 indicate acidic conditions; values above 7 indicate alkaline conditions. Measured in situ with a calibrated probe.</w:t>
            </w:r>
          </w:p>
        </w:tc>
      </w:tr>
      <w:tr>
        <w:tc>
          <w:tcPr>
            <w:tcW w:type="dxa" w:w="2736"/>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conductivity_uS_cm</w:t>
            </w:r>
          </w:p>
        </w:tc>
        <w:tc>
          <w:tcPr>
            <w:tcW w:type="dxa" w:w="115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µS/cm</w:t>
            </w:r>
          </w:p>
        </w:tc>
        <w:tc>
          <w:tcPr>
            <w:tcW w:type="dxa" w:w="5904"/>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Electrical conductivity of the water. Reflects the total concentration of dissolved ions. Higher values indicate greater mineral or ionic loading.</w:t>
            </w:r>
          </w:p>
        </w:tc>
      </w:tr>
      <w:tr>
        <w:tc>
          <w:tcPr>
            <w:tcW w:type="dxa" w:w="2736"/>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dissolved_oxygen_mg_l</w:t>
            </w:r>
          </w:p>
        </w:tc>
        <w:tc>
          <w:tcPr>
            <w:tcW w:type="dxa" w:w="115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mg/L</w:t>
            </w:r>
          </w:p>
        </w:tc>
        <w:tc>
          <w:tcPr>
            <w:tcW w:type="dxa" w:w="5904"/>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Concentration of oxygen dissolved in the water column. Critical indicator of aquatic habitat quality and biological activity.</w:t>
            </w:r>
          </w:p>
        </w:tc>
      </w:tr>
      <w:tr>
        <w:tc>
          <w:tcPr>
            <w:tcW w:type="dxa" w:w="2736"/>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oxygen_saturation_pct</w:t>
            </w:r>
          </w:p>
        </w:tc>
        <w:tc>
          <w:tcPr>
            <w:tcW w:type="dxa" w:w="115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w:t>
            </w:r>
          </w:p>
        </w:tc>
        <w:tc>
          <w:tcPr>
            <w:tcW w:type="dxa" w:w="5904"/>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Dissolved oxygen expressed as a percentage of the maximum possible at the measured temperature and pressure. Values above 100% may indicate photosynthetic activity. (Boye only)</w:t>
            </w:r>
          </w:p>
        </w:tc>
      </w:tr>
      <w:tr>
        <w:tc>
          <w:tcPr>
            <w:tcW w:type="dxa" w:w="2736"/>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water_temp_degC</w:t>
            </w:r>
          </w:p>
        </w:tc>
        <w:tc>
          <w:tcPr>
            <w:tcW w:type="dxa" w:w="115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°C</w:t>
            </w:r>
          </w:p>
        </w:tc>
        <w:tc>
          <w:tcPr>
            <w:tcW w:type="dxa" w:w="5904"/>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Water temperature measured in situ. Influences solubility of gases, reaction rates, and aquatic organism metabolism.</w:t>
            </w:r>
          </w:p>
        </w:tc>
      </w:tr>
      <w:tr>
        <w:tc>
          <w:tcPr>
            <w:tcW w:type="dxa" w:w="2736"/>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water_level_cm</w:t>
            </w:r>
          </w:p>
        </w:tc>
        <w:tc>
          <w:tcPr>
            <w:tcW w:type="dxa" w:w="115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cm</w:t>
            </w:r>
          </w:p>
        </w:tc>
        <w:tc>
          <w:tcPr>
            <w:tcW w:type="dxa" w:w="5904"/>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Water level measured at a fixed reference pole at each site. Used as a proxy for discharge and hydrological conditions.</w:t>
            </w:r>
          </w:p>
        </w:tc>
      </w:tr>
    </w:tbl>
    <w:p/>
    <w:p>
      <w:pPr>
        <w:spacing w:before="240" w:after="80"/>
      </w:pPr>
      <w:r>
        <w:rPr>
          <w:rFonts w:ascii="Arial" w:hAnsi="Arial"/>
          <w:b/>
          <w:i w:val="0"/>
          <w:color w:val="2F75B5"/>
          <w:sz w:val="24"/>
        </w:rPr>
        <w:t>4.3  Laboratory Chemistry (lab | bi-weekly)</w:t>
      </w:r>
    </w:p>
    <w:tbl>
      <w:tblPr>
        <w:tblW w:type="auto" w:w="0"/>
        <w:jc w:val="center"/>
        <w:tblLook w:firstColumn="1" w:firstRow="1" w:lastColumn="0" w:lastRow="0" w:noHBand="0" w:noVBand="1" w:val="04A0"/>
      </w:tblPr>
      <w:tblGrid>
        <w:gridCol w:w="2928"/>
        <w:gridCol w:w="2928"/>
        <w:gridCol w:w="2928"/>
      </w:tblGrid>
      <w:tr>
        <w:tc>
          <w:tcPr>
            <w:tcW w:type="dxa" w:w="2736"/>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Variable</w:t>
            </w:r>
          </w:p>
        </w:tc>
        <w:tc>
          <w:tcPr>
            <w:tcW w:type="dxa" w:w="1152"/>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Unit</w:t>
            </w:r>
          </w:p>
        </w:tc>
        <w:tc>
          <w:tcPr>
            <w:tcW w:type="dxa" w:w="5904"/>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Description</w:t>
            </w:r>
          </w:p>
        </w:tc>
      </w:tr>
      <w:tr>
        <w:tc>
          <w:tcPr>
            <w:tcW w:type="dxa" w:w="2736"/>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ortho_phosphate_mg_l</w:t>
            </w:r>
          </w:p>
        </w:tc>
        <w:tc>
          <w:tcPr>
            <w:tcW w:type="dxa" w:w="115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mg/L</w:t>
            </w:r>
          </w:p>
        </w:tc>
        <w:tc>
          <w:tcPr>
            <w:tcW w:type="dxa" w:w="5904"/>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Soluble reactive phosphorus (SRP), the bioavailable form of phosphate. Primary nutrient indicator for eutrophication risk.</w:t>
            </w:r>
          </w:p>
        </w:tc>
      </w:tr>
      <w:tr>
        <w:tc>
          <w:tcPr>
            <w:tcW w:type="dxa" w:w="2736"/>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total_phosphate_mg_l</w:t>
            </w:r>
          </w:p>
        </w:tc>
        <w:tc>
          <w:tcPr>
            <w:tcW w:type="dxa" w:w="115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mg/L</w:t>
            </w:r>
          </w:p>
        </w:tc>
        <w:tc>
          <w:tcPr>
            <w:tcW w:type="dxa" w:w="5904"/>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Total phosphorus including all dissolved and particulate fractions. Includes ortho-phosphate plus organic and particulate-bound phosphorus.</w:t>
            </w:r>
          </w:p>
        </w:tc>
      </w:tr>
      <w:tr>
        <w:tc>
          <w:tcPr>
            <w:tcW w:type="dxa" w:w="2736"/>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ammonia_mg_l</w:t>
            </w:r>
          </w:p>
        </w:tc>
        <w:tc>
          <w:tcPr>
            <w:tcW w:type="dxa" w:w="115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mg/L</w:t>
            </w:r>
          </w:p>
        </w:tc>
        <w:tc>
          <w:tcPr>
            <w:tcW w:type="dxa" w:w="5904"/>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Ammonium/ammonia nitrogen (NH4+/NH3). Indicator of organic waste decomposition, sewage input, or fertiliser runoff.</w:t>
            </w:r>
          </w:p>
        </w:tc>
      </w:tr>
      <w:tr>
        <w:tc>
          <w:tcPr>
            <w:tcW w:type="dxa" w:w="2736"/>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nitrite_mg_l</w:t>
            </w:r>
          </w:p>
        </w:tc>
        <w:tc>
          <w:tcPr>
            <w:tcW w:type="dxa" w:w="115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mg/L</w:t>
            </w:r>
          </w:p>
        </w:tc>
        <w:tc>
          <w:tcPr>
            <w:tcW w:type="dxa" w:w="5904"/>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Nitrite (NO2-). An intermediate in the nitrogen cycle produced during nitrification. Elevated values may indicate incomplete nitrification or sewage influence.</w:t>
            </w:r>
          </w:p>
        </w:tc>
      </w:tr>
      <w:tr>
        <w:tc>
          <w:tcPr>
            <w:tcW w:type="dxa" w:w="2736"/>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nitrate_mg_l</w:t>
            </w:r>
          </w:p>
        </w:tc>
        <w:tc>
          <w:tcPr>
            <w:tcW w:type="dxa" w:w="115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mg/L</w:t>
            </w:r>
          </w:p>
        </w:tc>
        <w:tc>
          <w:tcPr>
            <w:tcW w:type="dxa" w:w="5904"/>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Nitrate (NO3-). The dominant dissolved inorganic nitrogen form. Primary indicator of agricultural fertiliser leaching.</w:t>
            </w:r>
          </w:p>
        </w:tc>
      </w:tr>
      <w:tr>
        <w:tc>
          <w:tcPr>
            <w:tcW w:type="dxa" w:w="2736"/>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total_nitrogen_mg_l</w:t>
            </w:r>
          </w:p>
        </w:tc>
        <w:tc>
          <w:tcPr>
            <w:tcW w:type="dxa" w:w="115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mg/L</w:t>
            </w:r>
          </w:p>
        </w:tc>
        <w:tc>
          <w:tcPr>
            <w:tcW w:type="dxa" w:w="5904"/>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Total dissolved nitrogen including all inorganic and organic nitrogen fractions.</w:t>
            </w:r>
          </w:p>
        </w:tc>
      </w:tr>
      <w:tr>
        <w:tc>
          <w:tcPr>
            <w:tcW w:type="dxa" w:w="2736"/>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chloride_mg_l</w:t>
            </w:r>
          </w:p>
        </w:tc>
        <w:tc>
          <w:tcPr>
            <w:tcW w:type="dxa" w:w="115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mg/L</w:t>
            </w:r>
          </w:p>
        </w:tc>
        <w:tc>
          <w:tcPr>
            <w:tcW w:type="dxa" w:w="5904"/>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Chloride (Cl-). Conservative tracer for urban/road runoff and wastewater input. Naturally low in pristine streams.</w:t>
            </w:r>
          </w:p>
        </w:tc>
      </w:tr>
      <w:tr>
        <w:tc>
          <w:tcPr>
            <w:tcW w:type="dxa" w:w="2736"/>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sulfate_mg_l</w:t>
            </w:r>
          </w:p>
        </w:tc>
        <w:tc>
          <w:tcPr>
            <w:tcW w:type="dxa" w:w="115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mg/L</w:t>
            </w:r>
          </w:p>
        </w:tc>
        <w:tc>
          <w:tcPr>
            <w:tcW w:type="dxa" w:w="5904"/>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Sulfate (SO42-). Indicator of mining drainage, atmospheric deposition, or geogenic sources. Particularly elevated in the Boye catchment.</w:t>
            </w:r>
          </w:p>
        </w:tc>
      </w:tr>
    </w:tbl>
    <w:p/>
    <w:p>
      <w:pPr>
        <w:spacing w:before="240" w:after="80"/>
      </w:pPr>
      <w:r>
        <w:rPr>
          <w:rFonts w:ascii="Arial" w:hAnsi="Arial"/>
          <w:b/>
          <w:i w:val="0"/>
          <w:color w:val="2F75B5"/>
          <w:sz w:val="24"/>
        </w:rPr>
        <w:t>4.4  Trace Metals &amp; Major Ions (lab | once a month)</w:t>
      </w:r>
    </w:p>
    <w:tbl>
      <w:tblPr>
        <w:tblW w:type="auto" w:w="0"/>
        <w:jc w:val="center"/>
        <w:tblLook w:firstColumn="1" w:firstRow="1" w:lastColumn="0" w:lastRow="0" w:noHBand="0" w:noVBand="1" w:val="04A0"/>
      </w:tblPr>
      <w:tblGrid>
        <w:gridCol w:w="2928"/>
        <w:gridCol w:w="2928"/>
        <w:gridCol w:w="2928"/>
      </w:tblGrid>
      <w:tr>
        <w:tc>
          <w:tcPr>
            <w:tcW w:type="dxa" w:w="1872"/>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Variable</w:t>
            </w:r>
          </w:p>
        </w:tc>
        <w:tc>
          <w:tcPr>
            <w:tcW w:type="dxa" w:w="1152"/>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Unit</w:t>
            </w:r>
          </w:p>
        </w:tc>
        <w:tc>
          <w:tcPr>
            <w:tcW w:type="dxa" w:w="6768"/>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Description</w:t>
            </w:r>
          </w:p>
        </w:tc>
      </w:tr>
      <w:tr>
        <w:tc>
          <w:tcPr>
            <w:tcW w:type="dxa" w:w="187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Cd_mg_l</w:t>
            </w:r>
          </w:p>
        </w:tc>
        <w:tc>
          <w:tcPr>
            <w:tcW w:type="dxa" w:w="115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mg/L</w:t>
            </w:r>
          </w:p>
        </w:tc>
        <w:tc>
          <w:tcPr>
            <w:tcW w:type="dxa" w:w="6768"/>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Cadmium. Toxic heavy metal associated with mining and industrial activities. Values typically near or below detection limits in unpolluted streams.</w:t>
            </w:r>
          </w:p>
        </w:tc>
      </w:tr>
      <w:tr>
        <w:tc>
          <w:tcPr>
            <w:tcW w:type="dxa" w:w="187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Cu_mg_l</w:t>
            </w:r>
          </w:p>
        </w:tc>
        <w:tc>
          <w:tcPr>
            <w:tcW w:type="dxa" w:w="115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mg/L</w:t>
            </w:r>
          </w:p>
        </w:tc>
        <w:tc>
          <w:tcPr>
            <w:tcW w:type="dxa" w:w="6768"/>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Copper. Trace metal with both natural and anthropogenic sources. Toxic to aquatic organisms at elevated concentrations.</w:t>
            </w:r>
          </w:p>
        </w:tc>
      </w:tr>
      <w:tr>
        <w:tc>
          <w:tcPr>
            <w:tcW w:type="dxa" w:w="187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Fe_mg_l</w:t>
            </w:r>
          </w:p>
        </w:tc>
        <w:tc>
          <w:tcPr>
            <w:tcW w:type="dxa" w:w="115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mg/L</w:t>
            </w:r>
          </w:p>
        </w:tc>
        <w:tc>
          <w:tcPr>
            <w:tcW w:type="dxa" w:w="6768"/>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Iron. Naturally abundant; elevated in mining-impacted or anoxic catchments. Significantly higher in Boye than Kinzig.</w:t>
            </w:r>
          </w:p>
        </w:tc>
      </w:tr>
      <w:tr>
        <w:tc>
          <w:tcPr>
            <w:tcW w:type="dxa" w:w="187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Ni_mg_l</w:t>
            </w:r>
          </w:p>
        </w:tc>
        <w:tc>
          <w:tcPr>
            <w:tcW w:type="dxa" w:w="115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mg/L</w:t>
            </w:r>
          </w:p>
        </w:tc>
        <w:tc>
          <w:tcPr>
            <w:tcW w:type="dxa" w:w="6768"/>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Nickel. Trace metal from industrial and geogenic sources.</w:t>
            </w:r>
          </w:p>
        </w:tc>
      </w:tr>
      <w:tr>
        <w:tc>
          <w:tcPr>
            <w:tcW w:type="dxa" w:w="187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Pb_mg_l</w:t>
            </w:r>
          </w:p>
        </w:tc>
        <w:tc>
          <w:tcPr>
            <w:tcW w:type="dxa" w:w="115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mg/L</w:t>
            </w:r>
          </w:p>
        </w:tc>
        <w:tc>
          <w:tcPr>
            <w:tcW w:type="dxa" w:w="6768"/>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Lead. Toxic heavy metal from historical industrial and atmospheric deposition. Generally near detection limits.</w:t>
            </w:r>
          </w:p>
        </w:tc>
      </w:tr>
      <w:tr>
        <w:tc>
          <w:tcPr>
            <w:tcW w:type="dxa" w:w="187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Zn_mg_l</w:t>
            </w:r>
          </w:p>
        </w:tc>
        <w:tc>
          <w:tcPr>
            <w:tcW w:type="dxa" w:w="115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mg/L</w:t>
            </w:r>
          </w:p>
        </w:tc>
        <w:tc>
          <w:tcPr>
            <w:tcW w:type="dxa" w:w="6768"/>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Zinc. Commonly elevated in urban and mining-affected catchments. Sources include road runoff, galvanised infrastructure, and mining waste.</w:t>
            </w:r>
          </w:p>
        </w:tc>
      </w:tr>
      <w:tr>
        <w:tc>
          <w:tcPr>
            <w:tcW w:type="dxa" w:w="187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Ca_mg_l</w:t>
            </w:r>
          </w:p>
        </w:tc>
        <w:tc>
          <w:tcPr>
            <w:tcW w:type="dxa" w:w="115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mg/L</w:t>
            </w:r>
          </w:p>
        </w:tc>
        <w:tc>
          <w:tcPr>
            <w:tcW w:type="dxa" w:w="6768"/>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Calcium (Ca2+). Major cation reflecting water hardness and carbonate geology. Much higher in Boye (avg ~106 mg/L) than Kinzig (avg ~26 mg/L).</w:t>
            </w:r>
          </w:p>
        </w:tc>
      </w:tr>
      <w:tr>
        <w:tc>
          <w:tcPr>
            <w:tcW w:type="dxa" w:w="187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Mg_mg_l</w:t>
            </w:r>
          </w:p>
        </w:tc>
        <w:tc>
          <w:tcPr>
            <w:tcW w:type="dxa" w:w="115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mg/L</w:t>
            </w:r>
          </w:p>
        </w:tc>
        <w:tc>
          <w:tcPr>
            <w:tcW w:type="dxa" w:w="6768"/>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Magnesium (Mg2+). Major cation contributing to water hardness. Reflects underlying geology.</w:t>
            </w:r>
          </w:p>
        </w:tc>
      </w:tr>
      <w:tr>
        <w:tc>
          <w:tcPr>
            <w:tcW w:type="dxa" w:w="187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Na_mg_l</w:t>
            </w:r>
          </w:p>
        </w:tc>
        <w:tc>
          <w:tcPr>
            <w:tcW w:type="dxa" w:w="115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mg/L</w:t>
            </w:r>
          </w:p>
        </w:tc>
        <w:tc>
          <w:tcPr>
            <w:tcW w:type="dxa" w:w="6768"/>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Sodium (Na+). Major cation; elevated in urban catchments due to road salt and wastewater.</w:t>
            </w:r>
          </w:p>
        </w:tc>
      </w:tr>
      <w:tr>
        <w:tc>
          <w:tcPr>
            <w:tcW w:type="dxa" w:w="187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K_mg_l</w:t>
            </w:r>
          </w:p>
        </w:tc>
        <w:tc>
          <w:tcPr>
            <w:tcW w:type="dxa" w:w="115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mg/L</w:t>
            </w:r>
          </w:p>
        </w:tc>
        <w:tc>
          <w:tcPr>
            <w:tcW w:type="dxa" w:w="6768"/>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Potassium (K+). Major cation; elevated in areas with agricultural fertiliser application.</w:t>
            </w:r>
          </w:p>
        </w:tc>
      </w:tr>
      <w:tr>
        <w:tc>
          <w:tcPr>
            <w:tcW w:type="dxa" w:w="187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Co3_mg_l</w:t>
            </w:r>
          </w:p>
        </w:tc>
        <w:tc>
          <w:tcPr>
            <w:tcW w:type="dxa" w:w="115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mg/L</w:t>
            </w:r>
          </w:p>
        </w:tc>
        <w:tc>
          <w:tcPr>
            <w:tcW w:type="dxa" w:w="6768"/>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Carbonate (CO32-). Component of the carbonate buffering system. Reflects water alkalinity and geological substrate.</w:t>
            </w:r>
          </w:p>
        </w:tc>
      </w:tr>
      <w:tr>
        <w:tc>
          <w:tcPr>
            <w:tcW w:type="dxa" w:w="187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HCO3_mg_l</w:t>
            </w:r>
          </w:p>
        </w:tc>
        <w:tc>
          <w:tcPr>
            <w:tcW w:type="dxa" w:w="115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mg/L</w:t>
            </w:r>
          </w:p>
        </w:tc>
        <w:tc>
          <w:tcPr>
            <w:tcW w:type="dxa" w:w="6768"/>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Bicarbonate (HCO3-). Dominant buffering anion in most natural freshwaters. Indicator of alkalinity and carbonate weathering.</w:t>
            </w:r>
          </w:p>
        </w:tc>
      </w:tr>
    </w:tbl>
    <w:p/>
    <w:p>
      <w:r>
        <w:br w:type="page"/>
      </w:r>
    </w:p>
    <w:p>
      <w:pPr>
        <w:pBdr>
          <w:bottom w:val="single" w:sz="6" w:space="4" w:color="1F497D"/>
        </w:pBdr>
        <w:spacing w:before="360" w:after="120"/>
      </w:pPr>
      <w:r>
        <w:rPr>
          <w:rFonts w:ascii="Arial" w:hAnsi="Arial"/>
          <w:b/>
          <w:i w:val="0"/>
          <w:color w:val="1F497D"/>
          <w:sz w:val="28"/>
        </w:rPr>
        <w:t>5. Monitoring Site Codes</w:t>
      </w:r>
    </w:p>
    <w:p>
      <w:pPr>
        <w:spacing w:before="240" w:after="80"/>
      </w:pPr>
      <w:r>
        <w:rPr>
          <w:rFonts w:ascii="Arial" w:hAnsi="Arial"/>
          <w:b/>
          <w:i w:val="0"/>
          <w:color w:val="2F75B5"/>
          <w:sz w:val="24"/>
        </w:rPr>
        <w:t>5.1  Boye River System (20 sites)</w:t>
      </w:r>
    </w:p>
    <w:p>
      <w:pPr>
        <w:spacing w:after="120" w:before="0"/>
        <w:jc w:val="both"/>
      </w:pPr>
      <w:r>
        <w:rPr>
          <w:rFonts w:ascii="Arial" w:hAnsi="Arial"/>
          <w:b w:val="0"/>
          <w:i w:val="0"/>
          <w:sz w:val="22"/>
        </w:rPr>
        <w:t>Site codes use the prefix of the sub-catchment name followed by a positional descriptor.</w:t>
      </w:r>
    </w:p>
    <w:tbl>
      <w:tblPr>
        <w:tblW w:type="auto" w:w="0"/>
        <w:jc w:val="center"/>
        <w:tblLook w:firstColumn="1" w:firstRow="1" w:lastColumn="0" w:lastRow="0" w:noHBand="0" w:noVBand="1" w:val="04A0"/>
      </w:tblPr>
      <w:tblGrid>
        <w:gridCol w:w="4392"/>
        <w:gridCol w:w="4392"/>
      </w:tblGrid>
      <w:tr>
        <w:tc>
          <w:tcPr>
            <w:tcW w:type="dxa" w:w="2160"/>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Site Code</w:t>
            </w:r>
          </w:p>
        </w:tc>
        <w:tc>
          <w:tcPr>
            <w:tcW w:type="dxa" w:w="7632"/>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Description</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BOYkl</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Boye – small tributary (Kleiner Boye)</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BOYohB224</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Boye – upstream of tributary B224</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BOYohBr</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Boye – upstream of Brassert tributary</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BOYohKi</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Boye – upstream of Kirchhellen tributary</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BOYohSp</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Boye – upstream of Speckhorn tributary</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BOYuhHa</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Boye – downstream of Haltern tributary</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BOYuhSp</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Boye – downstream of Speckhorn tributary</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BRAob</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Brassert – upstream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BRAohBo</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Brassert – upstream of Boye confluence</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HAAob</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Haard – upstream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HAAun</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Haard – downstream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KIRob</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Kirchhellen – upstream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KIRun</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Kirchhellen – downstream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LIEohBo</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Lippe – upstream of Boye confluence</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NATohBo</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Natrop – upstream of Boye confluence</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QUAohBo</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Quall – upstream of Boye confluence</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ROTB</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Rotbach</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SCHohVo</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Schmalbach – upstream of Voerde</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SCHW</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Schwarzbach</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SPE</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Speckhorn</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VORohBo</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Vortmann – upstream of Boye confluence</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VORuhSc</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Vortmann – downstream of Schmalbach confluence</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WITob</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Witte – upstream</w:t>
            </w:r>
          </w:p>
        </w:tc>
      </w:tr>
    </w:tbl>
    <w:p/>
    <w:p>
      <w:pPr>
        <w:spacing w:before="240" w:after="80"/>
      </w:pPr>
      <w:r>
        <w:rPr>
          <w:rFonts w:ascii="Arial" w:hAnsi="Arial"/>
          <w:b/>
          <w:i w:val="0"/>
          <w:color w:val="2F75B5"/>
          <w:sz w:val="24"/>
        </w:rPr>
        <w:t>5.2  Kinzig River System (21 sites)</w:t>
      </w:r>
    </w:p>
    <w:p>
      <w:pPr>
        <w:spacing w:after="120" w:before="0"/>
        <w:jc w:val="both"/>
      </w:pPr>
      <w:r>
        <w:rPr>
          <w:rFonts w:ascii="Arial" w:hAnsi="Arial"/>
          <w:b w:val="0"/>
          <w:i w:val="0"/>
          <w:sz w:val="22"/>
        </w:rPr>
        <w:t>Site codes use abbreviated tributary names with a numeric suffix indicating position (1 = upstream, 2 = downstream).</w:t>
      </w:r>
    </w:p>
    <w:tbl>
      <w:tblPr>
        <w:tblW w:type="auto" w:w="0"/>
        <w:jc w:val="center"/>
        <w:tblLook w:firstColumn="1" w:firstRow="1" w:lastColumn="0" w:lastRow="0" w:noHBand="0" w:noVBand="1" w:val="04A0"/>
      </w:tblPr>
      <w:tblGrid>
        <w:gridCol w:w="4392"/>
        <w:gridCol w:w="4392"/>
      </w:tblGrid>
      <w:tr>
        <w:tc>
          <w:tcPr>
            <w:tcW w:type="dxa" w:w="2160"/>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Site Code</w:t>
            </w:r>
          </w:p>
        </w:tc>
        <w:tc>
          <w:tcPr>
            <w:tcW w:type="dxa" w:w="7632"/>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Description</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BIE1</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Bieber – upstream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BIE2</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Bieber – downstream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BRA1</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Bracht – upstream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BRA2</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Bracht – downstream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FAL1</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Falle – upstream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FAL2</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Falle – downstream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GRU1</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Grunbach – upstream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GRU2</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Grunbach – downstream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KIN1</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Kinzig main – site 1 (uppermost)</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KIN2</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Kinzig main – site 2</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KIN3</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Kinzig main – site 3</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KIN4</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Kinzig main – site 4 (lowermost)</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KLI</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Kinzig – tributary at Klinge</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KRE1</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Kreuzbach – upstream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KRE2</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Kreuzbach – downstream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ORB1</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Orb – upstream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ORB2</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Orb – downstream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SAL1</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Salz – upstream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SAL2</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Salz – downstream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STE1</w:t>
            </w:r>
          </w:p>
        </w:tc>
        <w:tc>
          <w:tcPr>
            <w:tcW w:type="dxa" w:w="763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Steinau – upstream</w:t>
            </w:r>
          </w:p>
        </w:tc>
      </w:tr>
      <w:tr>
        <w:tc>
          <w:tcPr>
            <w:tcW w:type="dxa" w:w="216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STE2</w:t>
            </w:r>
          </w:p>
        </w:tc>
        <w:tc>
          <w:tcPr>
            <w:tcW w:type="dxa" w:w="763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Steinau – downstream</w:t>
            </w:r>
          </w:p>
        </w:tc>
      </w:tr>
    </w:tbl>
    <w:p/>
    <w:p>
      <w:pPr>
        <w:pBdr>
          <w:bottom w:val="single" w:sz="6" w:space="4" w:color="1F497D"/>
        </w:pBdr>
        <w:spacing w:before="360" w:after="120"/>
      </w:pPr>
      <w:r>
        <w:rPr>
          <w:rFonts w:ascii="Arial" w:hAnsi="Arial"/>
          <w:b/>
          <w:i w:val="0"/>
          <w:color w:val="1F497D"/>
          <w:sz w:val="28"/>
        </w:rPr>
        <w:t>6. Software and Packages</w:t>
      </w:r>
    </w:p>
    <w:tbl>
      <w:tblPr>
        <w:tblW w:type="auto" w:w="0"/>
        <w:jc w:val="center"/>
        <w:tblLook w:firstColumn="1" w:firstRow="1" w:lastColumn="0" w:lastRow="0" w:noHBand="0" w:noVBand="1" w:val="04A0"/>
      </w:tblPr>
      <w:tblGrid>
        <w:gridCol w:w="2928"/>
        <w:gridCol w:w="2928"/>
        <w:gridCol w:w="2928"/>
      </w:tblGrid>
      <w:tr>
        <w:tc>
          <w:tcPr>
            <w:tcW w:type="dxa" w:w="2880"/>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Software / Package</w:t>
            </w:r>
          </w:p>
        </w:tc>
        <w:tc>
          <w:tcPr>
            <w:tcW w:type="dxa" w:w="1440"/>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Version</w:t>
            </w:r>
          </w:p>
        </w:tc>
        <w:tc>
          <w:tcPr>
            <w:tcW w:type="dxa" w:w="5472"/>
            <w:tcBorders>
              <w:top w:val="single" w:sz="4" w:space="0" w:color="FFFFFF"/>
              <w:left w:val="single" w:sz="4" w:space="0" w:color="FFFFFF"/>
              <w:bottom w:val="single" w:sz="4" w:space="0" w:color="FFFFFF"/>
              <w:right w:val="single" w:sz="4" w:space="0" w:color="FFFFFF"/>
            </w:tcBorders>
            <w:shd w:val="clear" w:color="auto" w:fill="1F497D"/>
          </w:tcPr>
          <w:p>
            <w:pPr>
              <w:spacing w:before="60" w:after="60"/>
            </w:pPr>
            <w:r>
              <w:rPr>
                <w:rFonts w:ascii="Arial" w:hAnsi="Arial"/>
                <w:b/>
                <w:i w:val="0"/>
                <w:color w:val="FFFFFF"/>
                <w:sz w:val="20"/>
              </w:rPr>
              <w:t>Purpose</w:t>
            </w:r>
          </w:p>
        </w:tc>
      </w:tr>
      <w:tr>
        <w:tc>
          <w:tcPr>
            <w:tcW w:type="dxa" w:w="288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R</w:t>
            </w:r>
          </w:p>
        </w:tc>
        <w:tc>
          <w:tcPr>
            <w:tcW w:type="dxa" w:w="144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 4.0</w:t>
            </w:r>
          </w:p>
        </w:tc>
        <w:tc>
          <w:tcPr>
            <w:tcW w:type="dxa" w:w="547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Primary statistical computing environment</w:t>
            </w:r>
          </w:p>
        </w:tc>
      </w:tr>
      <w:tr>
        <w:tc>
          <w:tcPr>
            <w:tcW w:type="dxa" w:w="288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readxl</w:t>
            </w:r>
          </w:p>
        </w:tc>
        <w:tc>
          <w:tcPr>
            <w:tcW w:type="dxa" w:w="144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CRAN</w:t>
            </w:r>
          </w:p>
        </w:tc>
        <w:tc>
          <w:tcPr>
            <w:tcW w:type="dxa" w:w="547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Reading multi-sheet Excel (.xlsx) files</w:t>
            </w:r>
          </w:p>
        </w:tc>
      </w:tr>
      <w:tr>
        <w:tc>
          <w:tcPr>
            <w:tcW w:type="dxa" w:w="288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dplyr</w:t>
            </w:r>
          </w:p>
        </w:tc>
        <w:tc>
          <w:tcPr>
            <w:tcW w:type="dxa" w:w="144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CRAN</w:t>
            </w:r>
          </w:p>
        </w:tc>
        <w:tc>
          <w:tcPr>
            <w:tcW w:type="dxa" w:w="547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Data manipulation: filtering, grouping, summarising, joining</w:t>
            </w:r>
          </w:p>
        </w:tc>
      </w:tr>
      <w:tr>
        <w:tc>
          <w:tcPr>
            <w:tcW w:type="dxa" w:w="288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lubridate</w:t>
            </w:r>
          </w:p>
        </w:tc>
        <w:tc>
          <w:tcPr>
            <w:tcW w:type="dxa" w:w="1440"/>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CRAN</w:t>
            </w:r>
          </w:p>
        </w:tc>
        <w:tc>
          <w:tcPr>
            <w:tcW w:type="dxa" w:w="5472"/>
            <w:tcBorders>
              <w:top w:val="single" w:sz="4" w:space="0" w:color="D0D9E3"/>
              <w:left w:val="single" w:sz="4" w:space="0" w:color="D0D9E3"/>
              <w:bottom w:val="single" w:sz="4" w:space="0" w:color="D0D9E3"/>
              <w:right w:val="single" w:sz="4" w:space="0" w:color="D0D9E3"/>
            </w:tcBorders>
            <w:shd w:val="clear" w:color="auto" w:fill="FFFFFF"/>
          </w:tcPr>
          <w:p>
            <w:pPr>
              <w:spacing w:before="40" w:after="40"/>
            </w:pPr>
            <w:r>
              <w:rPr>
                <w:rFonts w:ascii="Arial" w:hAnsi="Arial"/>
                <w:b w:val="0"/>
                <w:i w:val="0"/>
                <w:sz w:val="20"/>
              </w:rPr>
              <w:t>Date parsing and temporal filtering</w:t>
            </w:r>
          </w:p>
        </w:tc>
      </w:tr>
      <w:tr>
        <w:tc>
          <w:tcPr>
            <w:tcW w:type="dxa" w:w="288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writexl</w:t>
            </w:r>
          </w:p>
        </w:tc>
        <w:tc>
          <w:tcPr>
            <w:tcW w:type="dxa" w:w="1440"/>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CRAN</w:t>
            </w:r>
          </w:p>
        </w:tc>
        <w:tc>
          <w:tcPr>
            <w:tcW w:type="dxa" w:w="5472"/>
            <w:tcBorders>
              <w:top w:val="single" w:sz="4" w:space="0" w:color="D0D9E3"/>
              <w:left w:val="single" w:sz="4" w:space="0" w:color="D0D9E3"/>
              <w:bottom w:val="single" w:sz="4" w:space="0" w:color="D0D9E3"/>
              <w:right w:val="single" w:sz="4" w:space="0" w:color="D0D9E3"/>
            </w:tcBorders>
            <w:shd w:val="clear" w:color="auto" w:fill="E8F0F7"/>
          </w:tcPr>
          <w:p>
            <w:pPr>
              <w:spacing w:before="40" w:after="40"/>
            </w:pPr>
            <w:r>
              <w:rPr>
                <w:rFonts w:ascii="Arial" w:hAnsi="Arial"/>
                <w:b w:val="0"/>
                <w:i w:val="0"/>
                <w:sz w:val="20"/>
              </w:rPr>
              <w:t>Exporting cleaned data to Excel (.xlsx)</w:t>
            </w:r>
          </w:p>
        </w:tc>
      </w:tr>
    </w:tbl>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CCCCC"/>
      </w:pBdr>
      <w:spacing w:before="80"/>
      <w:jc w:val="center"/>
    </w:pPr>
    <w:r>
      <w:rPr>
        <w:rFonts w:ascii="Arial" w:hAnsi="Arial"/>
        <w:b w:val="0"/>
        <w:i w:val="0"/>
        <w:color w:val="808080"/>
        <w:sz w:val="18"/>
      </w:rPr>
      <w:t xml:space="preserve">SFB Field Studies | Physico-Chemical Data | March 2025  –  Page </w:t>
    </w:r>
    <w:r>
      <w:rPr>
        <w:sz w:val="18"/>
        <w:color w:val="808080"/>
      </w:rPr>
      <w:fldChar w:fldCharType="begin"/>
    </w:r>
    <w:r>
      <w:instrText>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