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F497D"/>
          <w:sz w:val="28"/>
        </w:rPr>
        <w:t>Data Harmonization Summary: Monthly Water Temperature Statistics</w:t>
      </w:r>
    </w:p>
    <w:p>
      <w:pPr>
        <w:spacing w:before="0" w:after="240"/>
      </w:pPr>
      <w:r>
        <w:rPr>
          <w:color w:val="707070"/>
          <w:sz w:val="20"/>
        </w:rPr>
        <w:t>Prepared: March 06, 2026  |  Period covered: March 2025</w:t>
      </w:r>
    </w:p>
    <w:p>
      <w:pPr>
        <w:pBdr>
          <w:bottom w:val="single" w:sz="6" w:space="1" w:color="1F497D"/>
        </w:pBdr>
        <w:spacing w:before="0" w:after="200"/>
      </w:pPr>
    </w:p>
    <w:p>
      <w:pPr>
        <w:spacing w:before="200" w:after="80"/>
      </w:pPr>
      <w:r>
        <w:rPr>
          <w:b/>
          <w:color w:val="1F497D"/>
          <w:sz w:val="22"/>
        </w:rPr>
        <w:t>1. Data Source</w:t>
      </w:r>
    </w:p>
    <w:p>
      <w:pPr>
        <w:spacing w:before="0" w:after="100"/>
        <w:ind w:firstLine="0"/>
      </w:pPr>
      <w:r>
        <w:rPr>
          <w:sz w:val="21"/>
        </w:rPr>
        <w:t>The raw data consist of 10 Microsoft Excel workbooks generated by temperature loggers deployed across stream sites in the Boye catchment as part of the SFB Field Studies programme. Each workbook covers one or two stream sites and contains a protocol sheet (deployment metadata) plus one data sheet per logger position (suffix _A or _B). In total, 19 individual stream–position combinations are recorded across the dataset.</w:t>
      </w:r>
    </w:p>
    <w:p>
      <w:pPr>
        <w:spacing w:before="200" w:after="80"/>
      </w:pPr>
      <w:r>
        <w:rPr>
          <w:b/>
          <w:color w:val="1F497D"/>
          <w:sz w:val="22"/>
        </w:rPr>
        <w:t>2. Raw Data Structure</w:t>
      </w:r>
    </w:p>
    <w:p>
      <w:pPr>
        <w:spacing w:before="0" w:after="100"/>
        <w:ind w:firstLine="0"/>
      </w:pPr>
      <w:r>
        <w:rPr>
          <w:sz w:val="21"/>
        </w:rPr>
        <w:t>Every data sheet follows a consistent column layout: Logger Name, Logger ID, Date, Year, Month, Time (24-hour), Water Temperature (°C), Luminosity (Lux), and Comment. Readings are sub-daily (approximately every 30 minutes). Dates are stored as Excel date-time values. Year and Month columns in the original files contain Excel formulas (e.g. =YEAR(C2)) that are not evaluated when the file is read programmatically; these columns are therefore ignored and recomputed directly from the Date column in R.</w:t>
      </w:r>
    </w:p>
    <w:p>
      <w:pPr>
        <w:spacing w:before="200" w:after="80"/>
      </w:pPr>
      <w:r>
        <w:rPr>
          <w:b/>
          <w:color w:val="1F497D"/>
          <w:sz w:val="22"/>
        </w:rPr>
        <w:t>3. Harmonization Procedure</w:t>
      </w:r>
    </w:p>
    <w:p>
      <w:pPr>
        <w:spacing w:before="0" w:after="100"/>
        <w:ind w:firstLine="0"/>
      </w:pPr>
      <w:r>
        <w:rPr>
          <w:sz w:val="21"/>
        </w:rPr>
        <w:t>The harmonization was carried out in R using the packages readxl, dplyr, lubridate, purrr, and stringr. The procedure follows four steps:</w:t>
      </w:r>
    </w:p>
    <w:p>
      <w:pPr>
        <w:pStyle w:val="ListNumber"/>
        <w:spacing w:before="40" w:after="60"/>
      </w:pPr>
      <w:r>
        <w:rPr>
          <w:b/>
          <w:sz w:val="21"/>
        </w:rPr>
        <w:t xml:space="preserve">File discovery: </w:t>
      </w:r>
      <w:r>
        <w:rPr>
          <w:sz w:val="21"/>
        </w:rPr>
        <w:t>All .xlsx files in the data folder are listed automatically, excluding the overview workbook.</w:t>
      </w:r>
    </w:p>
    <w:p>
      <w:pPr>
        <w:pStyle w:val="ListNumber"/>
        <w:spacing w:before="40" w:after="60"/>
      </w:pPr>
      <w:r>
        <w:rPr>
          <w:b/>
          <w:sz w:val="21"/>
        </w:rPr>
        <w:t xml:space="preserve">Sheet reading: </w:t>
      </w:r>
      <w:r>
        <w:rPr>
          <w:sz w:val="21"/>
        </w:rPr>
        <w:t>For each workbook, every sheet except the protocol sheet is read. Columns are selected by position (column 3 = Date, column 7 = Water Temperature) rather than by name, making the import robust to minor structural differences across sheets (e.g. one sheet contains two trailing empty columns).</w:t>
      </w:r>
    </w:p>
    <w:p>
      <w:pPr>
        <w:pStyle w:val="ListNumber"/>
        <w:spacing w:before="40" w:after="60"/>
      </w:pPr>
      <w:r>
        <w:rPr>
          <w:b/>
          <w:sz w:val="21"/>
        </w:rPr>
        <w:t xml:space="preserve">Stream name extraction: </w:t>
      </w:r>
      <w:r>
        <w:rPr>
          <w:sz w:val="21"/>
        </w:rPr>
        <w:t>The stream identifier is derived from the sheet name by removing the trailing logger-position suffix (_A or _B). This ensures that readings from both logger positions at the same site are pooled before statistics are computed.</w:t>
      </w:r>
    </w:p>
    <w:p>
      <w:pPr>
        <w:pStyle w:val="ListNumber"/>
        <w:spacing w:before="40" w:after="60"/>
      </w:pPr>
      <w:r>
        <w:rPr>
          <w:b/>
          <w:sz w:val="21"/>
        </w:rPr>
        <w:t xml:space="preserve">Filtering and aggregation: </w:t>
      </w:r>
      <w:r>
        <w:rPr>
          <w:sz w:val="21"/>
        </w:rPr>
        <w:t>After converting dates to R Date objects, records are filtered to March 2025 (year == 2025 and month == 3). Rows with missing temperature or date values are excluded. The data are then grouped by stream and year-month, and the monthly mean (Average) and standard deviation (SD) of Water Temperature (°C) are computed.</w:t>
      </w:r>
    </w:p>
    <w:p/>
    <w:p>
      <w:pPr>
        <w:spacing w:before="200" w:after="80"/>
      </w:pPr>
      <w:r>
        <w:rPr>
          <w:b/>
          <w:color w:val="1F497D"/>
          <w:sz w:val="22"/>
        </w:rPr>
        <w:t>4. Output Format</w:t>
      </w:r>
    </w:p>
    <w:p>
      <w:pPr>
        <w:spacing w:before="0" w:after="100"/>
        <w:ind w:firstLine="0"/>
      </w:pPr>
      <w:r>
        <w:rPr>
          <w:sz w:val="21"/>
        </w:rPr>
        <w:t>The harmonized output is a single table with one row per stream per month, structured as follows:</w:t>
      </w:r>
    </w:p>
    <w:tbl>
      <w:tblPr>
        <w:tblStyle w:val="TableGrid"/>
        <w:tblW w:type="auto" w:w="0"/>
        <w:tblLook w:firstColumn="1" w:firstRow="1" w:lastColumn="0" w:lastRow="0" w:noHBand="0" w:noVBand="1" w:val="04A0"/>
      </w:tblPr>
      <w:tblGrid>
        <w:gridCol w:w="2268"/>
        <w:gridCol w:w="2268"/>
        <w:gridCol w:w="2268"/>
        <w:gridCol w:w="2268"/>
      </w:tblGrid>
      <w:tr>
        <w:tc>
          <w:tcPr>
            <w:tcW w:type="dxa" w:w="2304"/>
            <w:shd w:val="clear" w:color="auto" w:fill="1F497D"/>
          </w:tcPr>
          <w:p>
            <w:pPr>
              <w:jc w:val="center"/>
            </w:pPr>
            <w:r>
              <w:rPr>
                <w:b/>
                <w:color w:val="FFFFFF"/>
                <w:sz w:val="20"/>
              </w:rPr>
              <w:t>Stream</w:t>
            </w:r>
          </w:p>
        </w:tc>
        <w:tc>
          <w:tcPr>
            <w:tcW w:type="dxa" w:w="2016"/>
            <w:shd w:val="clear" w:color="auto" w:fill="1F497D"/>
          </w:tcPr>
          <w:p>
            <w:pPr>
              <w:jc w:val="center"/>
            </w:pPr>
            <w:r>
              <w:rPr>
                <w:b/>
                <w:color w:val="FFFFFF"/>
                <w:sz w:val="20"/>
              </w:rPr>
              <w:t>Date</w:t>
            </w:r>
          </w:p>
        </w:tc>
        <w:tc>
          <w:tcPr>
            <w:tcW w:type="dxa" w:w="2304"/>
            <w:shd w:val="clear" w:color="auto" w:fill="1F497D"/>
          </w:tcPr>
          <w:p>
            <w:pPr>
              <w:jc w:val="center"/>
            </w:pPr>
            <w:r>
              <w:rPr>
                <w:b/>
                <w:color w:val="FFFFFF"/>
                <w:sz w:val="20"/>
              </w:rPr>
              <w:t>Average (°C)</w:t>
            </w:r>
          </w:p>
        </w:tc>
        <w:tc>
          <w:tcPr>
            <w:tcW w:type="dxa" w:w="2016"/>
            <w:shd w:val="clear" w:color="auto" w:fill="1F497D"/>
          </w:tcPr>
          <w:p>
            <w:pPr>
              <w:jc w:val="center"/>
            </w:pPr>
            <w:r>
              <w:rPr>
                <w:b/>
                <w:color w:val="FFFFFF"/>
                <w:sz w:val="20"/>
              </w:rPr>
              <w:t>SD (°C)</w:t>
            </w:r>
          </w:p>
        </w:tc>
      </w:tr>
      <w:tr>
        <w:tc>
          <w:tcPr>
            <w:tcW w:type="dxa" w:w="2304"/>
            <w:shd w:val="clear" w:color="auto" w:fill="FFFFFF"/>
          </w:tcPr>
          <w:p>
            <w:pPr>
              <w:jc w:val="center"/>
            </w:pPr>
            <w:r>
              <w:rPr>
                <w:color w:val="444444"/>
                <w:sz w:val="20"/>
              </w:rPr>
              <w:t>BOYkl</w:t>
            </w:r>
          </w:p>
        </w:tc>
        <w:tc>
          <w:tcPr>
            <w:tcW w:type="dxa" w:w="2016"/>
            <w:shd w:val="clear" w:color="auto" w:fill="FFFFFF"/>
          </w:tcPr>
          <w:p>
            <w:pPr>
              <w:jc w:val="center"/>
            </w:pPr>
            <w:r>
              <w:rPr>
                <w:color w:val="444444"/>
                <w:sz w:val="20"/>
              </w:rPr>
              <w:t>2025-03</w:t>
            </w:r>
          </w:p>
        </w:tc>
        <w:tc>
          <w:tcPr>
            <w:tcW w:type="dxa" w:w="2304"/>
            <w:shd w:val="clear" w:color="auto" w:fill="FFFFFF"/>
          </w:tcPr>
          <w:p>
            <w:pPr>
              <w:jc w:val="center"/>
            </w:pPr>
            <w:r>
              <w:rPr>
                <w:color w:val="444444"/>
                <w:sz w:val="20"/>
              </w:rPr>
              <w:t>x.xxx</w:t>
            </w:r>
          </w:p>
        </w:tc>
        <w:tc>
          <w:tcPr>
            <w:tcW w:type="dxa" w:w="2016"/>
            <w:shd w:val="clear" w:color="auto" w:fill="FFFFFF"/>
          </w:tcPr>
          <w:p>
            <w:pPr>
              <w:jc w:val="center"/>
            </w:pPr>
            <w:r>
              <w:rPr>
                <w:color w:val="444444"/>
                <w:sz w:val="20"/>
              </w:rPr>
              <w:t>x.xxx</w:t>
            </w:r>
          </w:p>
        </w:tc>
      </w:tr>
      <w:tr>
        <w:tc>
          <w:tcPr>
            <w:tcW w:type="dxa" w:w="2304"/>
            <w:shd w:val="clear" w:color="auto" w:fill="EEF3FA"/>
          </w:tcPr>
          <w:p>
            <w:pPr>
              <w:jc w:val="center"/>
            </w:pPr>
            <w:r>
              <w:rPr>
                <w:color w:val="444444"/>
                <w:sz w:val="20"/>
              </w:rPr>
              <w:t>WITob</w:t>
            </w:r>
          </w:p>
        </w:tc>
        <w:tc>
          <w:tcPr>
            <w:tcW w:type="dxa" w:w="2016"/>
            <w:shd w:val="clear" w:color="auto" w:fill="EEF3FA"/>
          </w:tcPr>
          <w:p>
            <w:pPr>
              <w:jc w:val="center"/>
            </w:pPr>
            <w:r>
              <w:rPr>
                <w:color w:val="444444"/>
                <w:sz w:val="20"/>
              </w:rPr>
              <w:t>2025-03</w:t>
            </w:r>
          </w:p>
        </w:tc>
        <w:tc>
          <w:tcPr>
            <w:tcW w:type="dxa" w:w="2304"/>
            <w:shd w:val="clear" w:color="auto" w:fill="EEF3FA"/>
          </w:tcPr>
          <w:p>
            <w:pPr>
              <w:jc w:val="center"/>
            </w:pPr>
            <w:r>
              <w:rPr>
                <w:color w:val="444444"/>
                <w:sz w:val="20"/>
              </w:rPr>
              <w:t>x.xxx</w:t>
            </w:r>
          </w:p>
        </w:tc>
        <w:tc>
          <w:tcPr>
            <w:tcW w:type="dxa" w:w="2016"/>
            <w:shd w:val="clear" w:color="auto" w:fill="EEF3FA"/>
          </w:tcPr>
          <w:p>
            <w:pPr>
              <w:jc w:val="center"/>
            </w:pPr>
            <w:r>
              <w:rPr>
                <w:color w:val="444444"/>
                <w:sz w:val="20"/>
              </w:rPr>
              <w:t>x.xxx</w:t>
            </w:r>
          </w:p>
        </w:tc>
      </w:tr>
      <w:tr>
        <w:tc>
          <w:tcPr>
            <w:tcW w:type="dxa" w:w="2304"/>
            <w:shd w:val="clear" w:color="auto" w:fill="FFFFFF"/>
          </w:tcPr>
          <w:p>
            <w:pPr>
              <w:jc w:val="center"/>
            </w:pPr>
            <w:r>
              <w:rPr>
                <w:color w:val="444444"/>
                <w:sz w:val="20"/>
              </w:rPr>
              <w:t>…</w:t>
            </w:r>
          </w:p>
        </w:tc>
        <w:tc>
          <w:tcPr>
            <w:tcW w:type="dxa" w:w="2016"/>
            <w:shd w:val="clear" w:color="auto" w:fill="FFFFFF"/>
          </w:tcPr>
          <w:p>
            <w:pPr>
              <w:jc w:val="center"/>
            </w:pPr>
            <w:r>
              <w:rPr>
                <w:color w:val="444444"/>
                <w:sz w:val="20"/>
              </w:rPr>
              <w:t>…</w:t>
            </w:r>
          </w:p>
        </w:tc>
        <w:tc>
          <w:tcPr>
            <w:tcW w:type="dxa" w:w="2304"/>
            <w:shd w:val="clear" w:color="auto" w:fill="FFFFFF"/>
          </w:tcPr>
          <w:p>
            <w:pPr>
              <w:jc w:val="center"/>
            </w:pPr>
            <w:r>
              <w:rPr>
                <w:color w:val="444444"/>
                <w:sz w:val="20"/>
              </w:rPr>
              <w:t>…</w:t>
            </w:r>
          </w:p>
        </w:tc>
        <w:tc>
          <w:tcPr>
            <w:tcW w:type="dxa" w:w="2016"/>
            <w:shd w:val="clear" w:color="auto" w:fill="FFFFFF"/>
          </w:tcPr>
          <w:p>
            <w:pPr>
              <w:jc w:val="center"/>
            </w:pPr>
            <w:r>
              <w:rPr>
                <w:color w:val="444444"/>
                <w:sz w:val="20"/>
              </w:rPr>
              <w:t>…</w:t>
            </w:r>
          </w:p>
        </w:tc>
      </w:tr>
    </w:tbl>
    <w:p>
      <w:pPr>
        <w:spacing w:before="120" w:after="120"/>
      </w:pPr>
    </w:p>
    <w:p>
      <w:pPr>
        <w:spacing w:before="0" w:after="100"/>
        <w:ind w:firstLine="0"/>
      </w:pPr>
      <w:r>
        <w:rPr>
          <w:sz w:val="21"/>
        </w:rPr>
        <w:t>Average and SD values are rounded to three decimal places. The table is sorted alphabetically by stream name. This structure can be extended to any month or year by adjusting the filter parameters in the R script.</w:t>
      </w:r>
    </w:p>
    <w:p>
      <w:pPr>
        <w:spacing w:before="200" w:after="80"/>
      </w:pPr>
      <w:r>
        <w:rPr>
          <w:b/>
          <w:color w:val="1F497D"/>
          <w:sz w:val="22"/>
        </w:rPr>
        <w:t>5. Streams Covered</w:t>
      </w:r>
    </w:p>
    <w:p>
      <w:pPr>
        <w:spacing w:before="0" w:after="100"/>
        <w:ind w:firstLine="0"/>
      </w:pPr>
      <w:r>
        <w:rPr>
          <w:sz w:val="21"/>
        </w:rPr>
        <w:t>The following 19 stream sites are included in the harmonized dataset: BOYkl, BOYohB224, BOYohBr, BOYohKi, BOYohSp, BOYuhSp, BRAob, BRAohBo, HAAob, HAAun, KIRob, KIRun, LIEohBo, NATohBo, QUAohB, SCHohVo, VORohBo, VORuhSc, WITob.</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