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4"/>
          <w:szCs w:val="44"/>
        </w:rPr>
        <w:t xml:space="preserve">SFB Stream Study — Complete Variable Reference Guide</w:t>
      </w:r>
    </w:p>
    <w:p>
      <w:pPr>
        <w:spacing w:before="0" w:after="80"/>
      </w:pPr>
      <w:r>
        <w:rPr>
          <w:rFonts w:ascii="Arial" w:cs="Arial" w:eastAsia="Arial" w:hAnsi="Arial"/>
          <w:color w:val="555555"/>
          <w:sz w:val="26"/>
          <w:szCs w:val="26"/>
        </w:rPr>
        <w:t xml:space="preserve">Boye and Kinzig Rivers  |  March 2025 Field Campaign</w:t>
      </w:r>
    </w:p>
    <w:p>
      <w:pPr>
        <w:spacing w:before="0" w:after="80"/>
      </w:pPr>
      <w:r>
        <w:rPr>
          <w:rFonts w:ascii="Arial" w:cs="Arial" w:eastAsia="Arial" w:hAnsi="Arial"/>
          <w:sz w:val="20"/>
          <w:szCs w:val="20"/>
        </w:rPr>
        <w:t xml:space="preserve">This reference document lists every variable recorded across both study streams — its full name, unit, what it measures, and its specific relevance to decomposition analysis. Variables are organised into five categories: Physicochemical, Substrate/Habitat, Temperature Logger, Land Use, and Macroinvertebrate Taxa.</w:t>
      </w:r>
    </w:p>
    <w:p>
      <w:pPr>
        <w:spacing w:before="80" w:after="80"/>
      </w:pPr>
      <w:r>
        <w:t xml:space="preserve"/>
      </w:r>
    </w:p>
    <w:p>
      <w:pPr>
        <w:pStyle w:val="Heading1"/>
        <w:spacing w:before="360" w:after="160"/>
      </w:pPr>
      <w:r>
        <w:rPr>
          <w:rFonts w:ascii="Arial" w:cs="Arial" w:eastAsia="Arial" w:hAnsi="Arial"/>
          <w:b/>
          <w:bCs/>
          <w:color w:val="1F4E79"/>
          <w:sz w:val="30"/>
          <w:szCs w:val="30"/>
        </w:rPr>
        <w:t xml:space="preserve">1. Physicochemical Variables</w:t>
      </w:r>
    </w:p>
    <w:p>
      <w:pPr>
        <w:spacing w:before="0" w:after="100"/>
      </w:pPr>
      <w:r>
        <w:rPr>
          <w:rFonts w:ascii="Arial" w:cs="Arial" w:eastAsia="Arial" w:hAnsi="Arial"/>
          <w:i/>
          <w:iCs/>
          <w:color w:val="555555"/>
          <w:sz w:val="18"/>
          <w:szCs w:val="18"/>
        </w:rPr>
        <w:t xml:space="preserve">26 variables for Boye; 25 for Kinzig (Kinzig is missing oxygen_saturation_pct). Measured in-situ and via laboratory water sample analysis during March 2025.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850"/>
        <w:gridCol w:w="820"/>
        <w:gridCol w:w="3000"/>
        <w:gridCol w:w="4888"/>
      </w:tblGrid>
      <w:tr>
        <w:trPr>
          <w:tblHeader/>
        </w:trPr>
        <w:tc>
          <w:tcPr>
            <w:tcW w:type="dxa" w:w="20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w:t>
            </w:r>
          </w:p>
        </w:tc>
        <w:tc>
          <w:tcPr>
            <w:tcW w:type="dxa" w:w="24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Full Name</w:t>
            </w:r>
          </w:p>
        </w:tc>
        <w:tc>
          <w:tcPr>
            <w:tcW w:type="dxa" w:w="85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w:t>
            </w:r>
          </w:p>
        </w:tc>
        <w:tc>
          <w:tcPr>
            <w:tcW w:type="dxa" w:w="82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w:t>
            </w:r>
          </w:p>
        </w:tc>
        <w:tc>
          <w:tcPr>
            <w:tcW w:type="dxa" w:w="30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Measures</w:t>
            </w:r>
          </w:p>
        </w:tc>
        <w:tc>
          <w:tcPr>
            <w:tcW w:type="dxa" w:w="488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 in Decomposition Analysis</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pH_dimensionless</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pH</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dimensionless</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Acidity/alkalinity of water on a 0–14 scale; 7 is neutral, &lt;7 acidic, &gt;7 alkaline.</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Controls microbial enzyme activity and fungal decomposer performance. Acidic conditions slow decomposition; near-neutral pH is optimal. Use to explain site-level variation in decomposition rates across Boye and Kinzig.</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conductivity_uS_cm</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Electrical Conductivity</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µS/cm</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 dissolved ion concentration (ionic strength); reflects geology, land use, and pollutant inputs.</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Higher conductivity can enhance fungal conditioning of leaf litter and support more diverse shredder communities. Use to capture the ionic environment as a modifier of decomposition rates.</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dissolved_oxygen_mg_l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Oxygen (DO)</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Amount of oxygen dissolved in water; available for aerobic respiration by organisms.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Critical for aerobic microbial decomposition. Low DO (&lt;5 mg/L) strongly suppresses decomposition rates and shifts pathways to anaerobic. Use as a primary driver variable in your decomposition models.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oxygen_saturation_pct</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Oxygen Saturation</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Boye only</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DO as a percentage of the theoretical maximum at that temperature and pressure.</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Saturation &lt;80% indicates physiological stress on decomposers and invertebrate shredders. Use alongside DO to fully characterise aerobic decomposition capacity at Boye sites.</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water_temp_degC</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Temperature</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In-situ water temperature at time of sampling.</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 single most important driver of decomposition — controls microbial metabolism and enzyme kinetics. Use in temperature-decomposition regressions and to calculate thermal sums (degree-days) for normalising rates across sites.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water_level_cm</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Level</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cm</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Depth of water at the sampling point; proxy for discharge and hydrological conditions.</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Flow velocity and depth influence leaf litter retention, transport, and the mechanical fragmentation of CPOM. Use as a hydrological context variable explaining spatial variation in decomposition.</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ortho_phosphate_mg_l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Ortho-phosphate (Reactive P)</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inorganic phosphorus immediately available for biological uptake (soluble reactive phosphorus, SRP).</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Phosphorus is a key nutrient stimulating microbial (especially fungal) biomass on leaf litter, accelerating conditioning and mass loss. A primary nutrient predictor in decomposition models — use in N:P stoichiometric analyses.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total_phosphate_mg_l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 Phosphate</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All phosphorus forms in water: dissolved inorganic + dissolved organic + particulate.</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Indicates overall phosphorus loading from the catchment including diffuse agricultural sources. Use alongside ortho-phosphate to contextualise nutrient enrichment driving decomposition.</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ammonia_mg_l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Ammonia-Nitrogen</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ammonium/free ammonia — a bioavailable reactive nitrogen form; elevated by sewage and agricultural inputs.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Nitrogen stimulates microbial decomposer communities; high ammonia also indicates organic pollution stress. Use in nutrient-decomposition models alongside phosphate to assess N:P stoichiometry effects.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nitrite_mg_l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Nitrite-Nitrogen</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Transient, intermediate-oxidation nitrogen form; normally very low in well-oxygenated water.</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Elevated nitrite signals nitrification/denitrification disruption and pollution stress. May indicate conditions unfavourable to sensitive shredder species. Use as a pollution stress indicator alongside ammonia.</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nitrate_mg_l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Nitrate-Nitrogen</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 most oxidised, stable inorganic nitrogen form; the dominant N species in oxygenated streams.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Primary nitrogen source for microbial decomposers. Elevated in agricultural catchments (fertiliser runoff). Use in N:P stoichiometry analyses to explain decomposition rate variation between sites.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total_nitrogen_mg_l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 Nitrogen</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Sum of all nitrogen forms: inorganic (nitrate, nitrite, ammonia) + dissolved organic N + particulate N.</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Reflects overall nitrogen loading and catchment land-use intensity. Compare between Boye and Kinzig to link nitrogen regime differences to decomposition efficiency.</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chloride_mg_l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Chloride</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Conservative dissolved anion; elevated by road salt, sewage effluents, and urban runoff.</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Elevated chloride indicates urban/industrial contamination. Can inhibit sensitive shredder invertebrates (especially Gammarus and stoneflies), reducing biotic decomposition rates. Use as an anthropogenic stress indicator.</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sulfate_mg_l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Sulfate</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sulfate ion; naturally present but elevated by industrial pollution and acid deposition.</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 sulfate indicates acidification risk or industrial influence. Can shift microbial communities toward sulfate-reducing bacteria, altering decomposition pathways. Use as a geochemical pollution proxy.</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Cd_mg_l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Cadmium</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Highly toxic trace heavy metal; naturally scarce but elevated by industrial/agricultural contamination.</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Even trace cadmium concentrations inhibit aquatic fungi (key leaf conditioners) and macroinvertebrate shredders. Use to assess toxic suppression of decomposition at contaminated Boye sites.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Cu_mg_l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Copper</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Heavy metal; micronutrient at low concentrations but toxic above threshold; common in agricultural (fungicide) and urban runoff.</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Copper is particularly toxic to aquatic hyphomycetes — the primary fungal agents of leaf litter conditioning. Use to explain reduced microbial decomposition rates at metal-impacted sites.</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Fe_mg_l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Iron</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iron; naturally present in groundwater-fed streams; elevated by mining and industrial activity.</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 iron can co-precipitate phosphorus (reducing nutrient availability to decomposers) and coat leaf surfaces, reducing palatability to shredders. Use as a geochemical context variable affecting substrate quality.</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Nickel</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Moderately toxic heavy metal; associated with industrial effluents and geogenic (bedrock) sources.</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Inhibits microbial decomposer communities at elevated concentrations. Use alongside Cd, Cu, Pb, Zn to assess cumulative metal toxicity load on decomposition-relevant communities.</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Pb_mg_l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Lead</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Highly toxic heavy metal; persists in sediments; associated with urban, traffic, and legacy industrial pollution.</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Lead severely inhibits both macroinvertebrate shredders and microbial decomposers even at low concentrations. Include in metal toxicity composite indices explaining reduced decomposition rates.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Zn_mg_l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Zinc</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Heavy metal; essential micronutrient at low levels but toxic at elevated concentrations; common in urban runoff and industrial discharge.</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Zinc inhibits aquatic fungi and invertebrates above threshold concentrations. Often co-occurring with Cu and Pb in urban/industrial streams. Use in metal gradient analyses to predict biotic decomposition suppression.</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Calcium</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Major dissolved cation reflecting water hardness; elevated in limestone/chalk catchments.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hardness (Ca-driven) affects invertebrate exoskeleton formation and leaf litter chemistry. Harder water generally supports more diverse shredder communities, potentially enhancing biotic decomposition. Use to explain cross-site variation.</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Magnesium</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Major dissolved cation; indicator of geological substrate and water hardness.</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Contributes to overall ionic strength and water hardness. Use alongside Ca to characterise geochemical water type and its influence on invertebrate community composition supporting decomposition.</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Na_mg_l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Sodium</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Major dissolved cation; naturally present at low levels; elevated by road salt, sewage, and water softening.</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Elevated sodium signals anthropogenic input and can stress freshwater invertebrates at high concentrations. Use as an indicator of catchment-scale human influence on decomposer communities.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Potassium</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Major dissolved cation; essential plant/microbial nutrient; elevated by agricultural fertiliser runoff.</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Potassium indicates agricultural influence and contributes to microbial nutrient availability. Use as part of overall nutrient enrichment assessment driving microbial decomposition activity.</w:t>
            </w:r>
          </w:p>
        </w:tc>
      </w:tr>
      <w:tr>
        <w:tc>
          <w:tcPr>
            <w:tcW w:type="dxa" w:w="2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Co3_mg_l</w:t>
            </w:r>
          </w:p>
        </w:tc>
        <w:tc>
          <w:tcPr>
            <w:tcW w:type="dxa" w:w="24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Carbonate</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Dissolved carbonate ion; present in alkaline waters; part of the carbonate buffering system.</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Carbonate contributes to buffering capacity, stabilising pH. This protects decomposer communities from acid pulses. Use alongside HCO3 to characterise stream buffering capacity across sites.</w:t>
            </w:r>
          </w:p>
        </w:tc>
      </w:tr>
      <w:tr>
        <w:tc>
          <w:tcPr>
            <w:tcW w:type="dxa" w:w="2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HCO3_mg_l</w:t>
            </w:r>
          </w:p>
        </w:tc>
        <w:tc>
          <w:tcPr>
            <w:tcW w:type="dxa" w:w="24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Bicarbonate</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mg/L</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0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 dominant alkalinity component in most natural waters; primary pH buffer.</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 bicarbonate alkalinity buffers pH against acidification and maintains optimal conditions for microbial and invertebrate decomposers. A key variable for understanding why some polluted sites retain decomposition function.</w:t>
            </w:r>
          </w:p>
        </w:tc>
      </w:tr>
    </w:tbl>
    <w:p>
      <w:pPr>
        <w:spacing w:before="80" w:after="80"/>
      </w:pPr>
      <w:r>
        <w:t xml:space="preserve"/>
      </w:r>
    </w:p>
    <w:p>
      <w:r>
        <w:br w:type="page"/>
      </w:r>
    </w:p>
    <w:p>
      <w:pPr>
        <w:pStyle w:val="Heading1"/>
        <w:spacing w:before="360" w:after="160"/>
      </w:pPr>
      <w:r>
        <w:rPr>
          <w:rFonts w:ascii="Arial" w:cs="Arial" w:eastAsia="Arial" w:hAnsi="Arial"/>
          <w:b/>
          <w:bCs/>
          <w:color w:val="1F4E79"/>
          <w:sz w:val="30"/>
          <w:szCs w:val="30"/>
        </w:rPr>
        <w:t xml:space="preserve">2. Substrate and Habitat Variables</w:t>
      </w:r>
    </w:p>
    <w:p>
      <w:pPr>
        <w:spacing w:before="0" w:after="100"/>
      </w:pPr>
      <w:r>
        <w:rPr>
          <w:rFonts w:ascii="Arial" w:cs="Arial" w:eastAsia="Arial" w:hAnsi="Arial"/>
          <w:i/>
          <w:iCs/>
          <w:color w:val="555555"/>
          <w:sz w:val="18"/>
          <w:szCs w:val="18"/>
        </w:rPr>
        <w:t xml:space="preserve">12 variables; identical for both Boye and Kinzig. Recorded as percentage cover estimates (%); values at each site sum to 100%.</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850"/>
        <w:gridCol w:w="820"/>
        <w:gridCol w:w="3100"/>
        <w:gridCol w:w="4888"/>
      </w:tblGrid>
      <w:tr>
        <w:trPr>
          <w:tblHeader/>
        </w:trPr>
        <w:tc>
          <w:tcPr>
            <w:tcW w:type="dxa" w:w="16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w:t>
            </w:r>
          </w:p>
        </w:tc>
        <w:tc>
          <w:tcPr>
            <w:tcW w:type="dxa" w:w="27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Full Name</w:t>
            </w:r>
          </w:p>
        </w:tc>
        <w:tc>
          <w:tcPr>
            <w:tcW w:type="dxa" w:w="85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w:t>
            </w:r>
          </w:p>
        </w:tc>
        <w:tc>
          <w:tcPr>
            <w:tcW w:type="dxa" w:w="82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w:t>
            </w:r>
          </w:p>
        </w:tc>
        <w:tc>
          <w:tcPr>
            <w:tcW w:type="dxa" w:w="31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Measures</w:t>
            </w:r>
          </w:p>
        </w:tc>
        <w:tc>
          <w:tcPr>
            <w:tcW w:type="dxa" w:w="488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 in Decomposition Analysis</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makro</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Macrolithal (Large Stones)</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 rocks and boulders &gt;20 cm diameter; stable, hard inorganic substrate.</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Provides stable surface for biofilm and microbial communities that condition leaf litter. Dominant macrolithal indicates stable substrate but may retain less CPOM. Use to classify hydraulic habitat type influencing decomposition.</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meso</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Mesolithal (Medium Stones)</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Medium stones 6–20 cm diameter; common in moderate-gradient riffles.</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Key habitat for macroinvertebrate shredder communities (Gammarus, stoneflies) that colonise leaf packs in interstitial spaces. Use as an indicator of shredder-suitable habitat for biotic decomposition.</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mikro</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Microlithal (Small Stones/Pebbles)</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stones and pebbles 2–6 cm diameter; transitional between coarse and fine substrates.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Provides interstitial spaces where leaf litter accumulates and shredder invertebrates shelter. Use to assess leaf pack retention capacity — a critical factor determining decomposition exposure time.</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akal</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Akal (Fine Gravel)</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Fine gravel 0.2–2 cm; mobile under high flows; transitional to sandy substrate.</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Traps fine particulate organic matter (FPOM) — an end-product of CPOM decomposition. High akal % indicates sites that retain decomposition products. Use as an indicator of FPOM accumulation and transport dynamics.</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psam</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Psammal (Sand)</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Sand particles &lt;0.2 cm; mobile and unstable; characteristic of low-gradient or channelised reaches.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Sandy substrates are poor habitat for shredder invertebrates and biofilm communities. High sand % indicates degraded habitat with reduced biotic decomposition capacity — a key negative predictor of decomposition rates.</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tech_1</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Technical Substrate (Artificial)</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Engineered substrate: concrete, rip-rap, metal structures, channelisation.</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Indicates habitat degradation from river engineering. Artificial substrates support minimal natural biofilm or shredder communities, strongly suppressing biotic decomposition. A key explanatory variable for impaired decomposition sites.</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submers</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Submerged Vegetation</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Percentage cover of submerged aquatic macrophytes (water plants rooted below the surface).</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Submerged plants provide habitat for invertebrates and retain CPOM. Also contribute autochthonous organic matter to the decomposition pool. Use as a habitat complexity variable explaining shredder diversity and leaf retention.</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emers</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Emergent Vegetation</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Percentage cover of emergent macrophytes (rooted in sediment, aerial parts above water).</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Emergent vegetation contributes allochthonous organic matter (senescent leaves/stems) and indicates good riparian interface quality — directly determines CPOM input availability for decomposition studies.</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living parts</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Living Plant Parts</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Living plant material present in the wetted channel (roots, stems, algal mats).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Contributes both structural habitat for decomposers and autochthonous organic inputs. Use as a measure of in-stream primary production supplying organic matter to the decomposition pathway.</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xylal</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Xylal (Coarse Woody Debris)</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Logs, branches, and large woody material present in the channel.</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Wood is a slow-decomposing but ecologically important CPOM type. Supports specialist xylophagous invertebrates (e.g., Lype, some Chironomidae). Use to quantify the wood-specific decomposition pathway alongside leaf-litter CPOM.</w:t>
            </w:r>
          </w:p>
        </w:tc>
      </w:tr>
      <w:tr>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CPOM</w:t>
            </w:r>
          </w:p>
        </w:tc>
        <w:tc>
          <w:tcPr>
            <w:tcW w:type="dxa" w:w="27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Coarse Particulate Organic Matter</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Leaves, twigs, and organic material &gt;1 mm retained in the channel; the primary substrate in leaf litter decomposition studies.</w:t>
            </w:r>
          </w:p>
        </w:tc>
        <w:tc>
          <w:tcPr>
            <w:tcW w:type="dxa" w:w="48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CPOM is the direct substrate for allochthonous decomposition. Its abundance reflects leaf litter supply, retention efficiency, and CPOM processing rate. This is the most directly relevant habitat variable for decomposition analysis — high priority predictor.</w:t>
            </w:r>
          </w:p>
        </w:tc>
      </w:tr>
      <w:tr>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FPOM</w:t>
            </w:r>
          </w:p>
        </w:tc>
        <w:tc>
          <w:tcPr>
            <w:tcW w:type="dxa" w:w="27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Fine Particulate Organic Matter</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organic particles &lt;1 mm; the downstream product of CPOM fragmentation and microbial breakdown.</w:t>
            </w:r>
          </w:p>
        </w:tc>
        <w:tc>
          <w:tcPr>
            <w:tcW w:type="dxa" w:w="48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FPOM abundance represents the output of the decomposition process — high FPOM indicates active upstream or in-situ CPOM breakdown. Use to quantify decomposition processing efficiency and as a downstream indicator of decomposition activity.</w:t>
            </w:r>
          </w:p>
        </w:tc>
      </w:tr>
    </w:tbl>
    <w:p>
      <w:pPr>
        <w:spacing w:before="80" w:after="80"/>
      </w:pPr>
      <w:r>
        <w:t xml:space="preserve"/>
      </w:r>
    </w:p>
    <w:p>
      <w:pPr>
        <w:pStyle w:val="Heading1"/>
        <w:spacing w:before="360" w:after="160"/>
      </w:pPr>
      <w:r>
        <w:rPr>
          <w:rFonts w:ascii="Arial" w:cs="Arial" w:eastAsia="Arial" w:hAnsi="Arial"/>
          <w:b/>
          <w:bCs/>
          <w:color w:val="1F4E79"/>
          <w:sz w:val="30"/>
          <w:szCs w:val="30"/>
        </w:rPr>
        <w:t xml:space="preserve">3. Temperature Logger Variables</w:t>
      </w:r>
    </w:p>
    <w:p>
      <w:pPr>
        <w:spacing w:before="0" w:after="100"/>
      </w:pPr>
      <w:r>
        <w:rPr>
          <w:rFonts w:ascii="Arial" w:cs="Arial" w:eastAsia="Arial" w:hAnsi="Arial"/>
          <w:i/>
          <w:iCs/>
          <w:color w:val="555555"/>
          <w:sz w:val="18"/>
          <w:szCs w:val="18"/>
        </w:rPr>
        <w:t xml:space="preserve">2 variables; Boye stream only. Derived from continuous automated temperature logger data recorded throughout March 2025.</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850"/>
        <w:gridCol w:w="820"/>
        <w:gridCol w:w="3100"/>
        <w:gridCol w:w="4088"/>
      </w:tblGrid>
      <w:tr>
        <w:trPr>
          <w:tblHeader/>
        </w:trPr>
        <w:tc>
          <w:tcPr>
            <w:tcW w:type="dxa" w:w="23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w:t>
            </w:r>
          </w:p>
        </w:tc>
        <w:tc>
          <w:tcPr>
            <w:tcW w:type="dxa" w:w="28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Full Name</w:t>
            </w:r>
          </w:p>
        </w:tc>
        <w:tc>
          <w:tcPr>
            <w:tcW w:type="dxa" w:w="85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w:t>
            </w:r>
          </w:p>
        </w:tc>
        <w:tc>
          <w:tcPr>
            <w:tcW w:type="dxa" w:w="82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w:t>
            </w:r>
          </w:p>
        </w:tc>
        <w:tc>
          <w:tcPr>
            <w:tcW w:type="dxa" w:w="31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Measures</w:t>
            </w:r>
          </w:p>
        </w:tc>
        <w:tc>
          <w:tcPr>
            <w:tcW w:type="dxa" w:w="408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 in Decomposition Analysis</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Average_temp_degC</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Monthly Mean Water Temperature</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Boye only</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Average temperature recorded continuously by data loggers over the entire month of March 2025 at each Boye monitoring station.</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Monthly mean temperature is the primary thermal driver of decomposition. Use to calculate cumulative degree-days — the standard unit for normalising leaf litter decomposition rates across sites with different thermal regimes. Essential for rate comparisons.</w:t>
            </w:r>
          </w:p>
        </w:tc>
      </w:tr>
      <w:tr>
        <w:tc>
          <w:tcPr>
            <w:tcW w:type="dxa" w:w="23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SD_temp</w:t>
            </w:r>
          </w:p>
        </w:tc>
        <w:tc>
          <w:tcPr>
            <w:tcW w:type="dxa" w:w="28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Temperature Standard Deviation</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Boye only</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Variability in water temperature over the monthly logging period, reflecting thermal stability or fluctuation (e.g., due to shading, discharge events, groundwater influence).</w:t>
            </w:r>
          </w:p>
        </w:tc>
        <w:tc>
          <w:tcPr>
            <w:tcW w:type="dxa" w:w="40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 thermal variability may physiologically stress microbial and invertebrate decomposer communities beyond what mean temperature predicts. Use as a modifier variable in decomposition rate models to account for thermal regime quality.</w:t>
            </w:r>
          </w:p>
        </w:tc>
      </w:tr>
    </w:tbl>
    <w:p>
      <w:pPr>
        <w:spacing w:before="80" w:after="80"/>
      </w:pPr>
      <w:r>
        <w:t xml:space="preserve"/>
      </w:r>
    </w:p>
    <w:p>
      <w:pPr>
        <w:pStyle w:val="Heading1"/>
        <w:spacing w:before="360" w:after="160"/>
      </w:pPr>
      <w:r>
        <w:rPr>
          <w:rFonts w:ascii="Arial" w:cs="Arial" w:eastAsia="Arial" w:hAnsi="Arial"/>
          <w:b/>
          <w:bCs/>
          <w:color w:val="1F4E79"/>
          <w:sz w:val="30"/>
          <w:szCs w:val="30"/>
        </w:rPr>
        <w:t xml:space="preserve">4. Land Use Variables</w:t>
      </w:r>
    </w:p>
    <w:p>
      <w:pPr>
        <w:spacing w:before="0" w:after="100"/>
      </w:pPr>
      <w:r>
        <w:rPr>
          <w:rFonts w:ascii="Arial" w:cs="Arial" w:eastAsia="Arial" w:hAnsi="Arial"/>
          <w:i/>
          <w:iCs/>
          <w:color w:val="555555"/>
          <w:sz w:val="18"/>
          <w:szCs w:val="18"/>
        </w:rPr>
        <w:t xml:space="preserve">9 variables; both streams. Derived from 2022 GIS land use classification data for the upstream catchment of each site.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850"/>
        <w:gridCol w:w="820"/>
        <w:gridCol w:w="3100"/>
        <w:gridCol w:w="4088"/>
      </w:tblGrid>
      <w:tr>
        <w:trPr>
          <w:tblHeader/>
        </w:trPr>
        <w:tc>
          <w:tcPr>
            <w:tcW w:type="dxa" w:w="23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w:t>
            </w:r>
          </w:p>
        </w:tc>
        <w:tc>
          <w:tcPr>
            <w:tcW w:type="dxa" w:w="28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Full Name</w:t>
            </w:r>
          </w:p>
        </w:tc>
        <w:tc>
          <w:tcPr>
            <w:tcW w:type="dxa" w:w="85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Unit</w:t>
            </w:r>
          </w:p>
        </w:tc>
        <w:tc>
          <w:tcPr>
            <w:tcW w:type="dxa" w:w="82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w:t>
            </w:r>
          </w:p>
        </w:tc>
        <w:tc>
          <w:tcPr>
            <w:tcW w:type="dxa" w:w="31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What It Measures</w:t>
            </w:r>
          </w:p>
        </w:tc>
        <w:tc>
          <w:tcPr>
            <w:tcW w:type="dxa" w:w="408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 in Decomposition Analysis</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total_area</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 Catchment Area</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km²</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 upstream catchment area draining to each study site.</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Larger catchments have greater water yield and capacity for nutrient/pollutant loading. Use to normalise contaminant concentrations to load values and to compare scale-dependent drivers of decomposition across sites.</w:t>
            </w:r>
          </w:p>
        </w:tc>
      </w:tr>
      <w:tr>
        <w:tc>
          <w:tcPr>
            <w:tcW w:type="dxa" w:w="23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total_area_agric</w:t>
            </w:r>
          </w:p>
        </w:tc>
        <w:tc>
          <w:tcPr>
            <w:tcW w:type="dxa" w:w="28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Agricultural Catchment Area</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km²</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Absolute area of the upstream catchment under agricultural land use.</w:t>
            </w:r>
          </w:p>
        </w:tc>
        <w:tc>
          <w:tcPr>
            <w:tcW w:type="dxa" w:w="40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Agricultural land is the primary source of nutrient (N, P) and pesticide inputs that drive decomposition rates. Use alongside percentage values to estimate absolute pollutant loads entering streams.</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total_area_industrial</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Industrial Catchment Area</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km²</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Absolute area under industrial land use in the upstream catchment.</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Industrial areas are the main source of heavy metals (Cd, Cu, Pb, Zn) that suppress microbial and invertebrate decomposer communities. Use to explain metal contamination gradients across sampling sites.</w:t>
            </w:r>
          </w:p>
        </w:tc>
      </w:tr>
      <w:tr>
        <w:tc>
          <w:tcPr>
            <w:tcW w:type="dxa" w:w="23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total_area_urban</w:t>
            </w:r>
          </w:p>
        </w:tc>
        <w:tc>
          <w:tcPr>
            <w:tcW w:type="dxa" w:w="28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Urban Catchment Area</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km²</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Absolute area under urban land use (built-up areas, roads, impervious surfaces) in the catchment.</w:t>
            </w:r>
          </w:p>
        </w:tc>
        <w:tc>
          <w:tcPr>
            <w:tcW w:type="dxa" w:w="40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Urban land generates road runoff, sewage effluents, and road salt — elevating conductivity, chloride, and metals. These collectively degrade decomposer community structure. Use to explain urbanisation effects on decomposition.</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total_area_rural</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Rural/Semi-natural Area</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km²</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Absolute catchment area under rural, forested, or semi-natural land use with low human modification.</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Rural and forested areas are the primary source of high-quality allochthonous CPOM (leaf litter) for decomposition. Higher rural area generally supports richer riparian forests and better-preserved decomposer communities — a positive predictor of decomposition quality.</w:t>
            </w:r>
          </w:p>
        </w:tc>
      </w:tr>
      <w:tr>
        <w:tc>
          <w:tcPr>
            <w:tcW w:type="dxa" w:w="23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pct_agricultural</w:t>
            </w:r>
          </w:p>
        </w:tc>
        <w:tc>
          <w:tcPr>
            <w:tcW w:type="dxa" w:w="28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 Agricultural Land</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Proportion of the total catchment covered by agricultural land use.</w:t>
            </w:r>
          </w:p>
        </w:tc>
        <w:tc>
          <w:tcPr>
            <w:tcW w:type="dxa" w:w="40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 single most useful land use predictor in stream decomposition models. High agricultural % predicts elevated nutrients (stimulating microbial decomposition) but also pesticide/herbicide exposure (potentially inhibiting shredder invertebrates). A primary land use regression variable.</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pct_industrial</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 Industrial Land</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Proportion of the catchment under industrial land use.</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Use to explain heavy metal contamination gradients (Cd, Cu, Ni, Pb, Zn) across sites. Industrial land % typically correlates strongly with metal concentrations — key suppressors of both microbial and biotic decomposition.</w:t>
            </w:r>
          </w:p>
        </w:tc>
      </w:tr>
      <w:tr>
        <w:tc>
          <w:tcPr>
            <w:tcW w:type="dxa" w:w="23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pct_urban</w:t>
            </w:r>
          </w:p>
        </w:tc>
        <w:tc>
          <w:tcPr>
            <w:tcW w:type="dxa" w:w="28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 Urban Land</w:t>
            </w:r>
          </w:p>
        </w:tc>
        <w:tc>
          <w:tcPr>
            <w:tcW w:type="dxa" w:w="85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Proportion of the catchment under urban land use.</w:t>
            </w:r>
          </w:p>
        </w:tc>
        <w:tc>
          <w:tcPr>
            <w:tcW w:type="dxa" w:w="408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Urban % correlates with conductivity, chloride, pharmaceutical contaminants, and impervious surface runoff. Use to assess how urbanisation degrades decomposer community composition and leaf litter decomposition rates.</w:t>
            </w:r>
          </w:p>
        </w:tc>
      </w:tr>
      <w:tr>
        <w:tc>
          <w:tcPr>
            <w:tcW w:type="dxa" w:w="23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pct_rural</w:t>
            </w:r>
          </w:p>
        </w:tc>
        <w:tc>
          <w:tcPr>
            <w:tcW w:type="dxa" w:w="28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 Rural Land</w:t>
            </w:r>
          </w:p>
        </w:tc>
        <w:tc>
          <w:tcPr>
            <w:tcW w:type="dxa" w:w="85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t>
            </w:r>
          </w:p>
        </w:tc>
        <w:tc>
          <w:tcPr>
            <w:tcW w:type="dxa" w:w="82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31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Proportion of the catchment under rural or semi-natural land use.</w:t>
            </w:r>
          </w:p>
        </w:tc>
        <w:tc>
          <w:tcPr>
            <w:tcW w:type="dxa" w:w="408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Higher rural/forested % is associated with better riparian quality, higher CPOM input, and less pollution stress on decomposers. Use as a positive reference predictor — sites with high rural % should show near-reference decomposition rates.</w:t>
            </w:r>
          </w:p>
        </w:tc>
      </w:tr>
    </w:tbl>
    <w:p>
      <w:pPr>
        <w:spacing w:before="80" w:after="80"/>
      </w:pPr>
      <w:r>
        <w:t xml:space="preserve"/>
      </w:r>
    </w:p>
    <w:p>
      <w:r>
        <w:br w:type="page"/>
      </w:r>
    </w:p>
    <w:p>
      <w:pPr>
        <w:pStyle w:val="Heading1"/>
        <w:spacing w:before="360" w:after="160"/>
      </w:pPr>
      <w:r>
        <w:rPr>
          <w:rFonts w:ascii="Arial" w:cs="Arial" w:eastAsia="Arial" w:hAnsi="Arial"/>
          <w:b/>
          <w:bCs/>
          <w:color w:val="1F4E79"/>
          <w:sz w:val="30"/>
          <w:szCs w:val="30"/>
        </w:rPr>
        <w:t xml:space="preserve">5. Macroinvertebrate Taxa</w:t>
      </w:r>
    </w:p>
    <w:p>
      <w:pPr>
        <w:spacing w:before="0" w:after="100"/>
      </w:pPr>
      <w:r>
        <w:rPr>
          <w:rFonts w:ascii="Arial" w:cs="Arial" w:eastAsia="Arial" w:hAnsi="Arial"/>
          <w:i/>
          <w:iCs/>
          <w:color w:val="555555"/>
          <w:sz w:val="18"/>
          <w:szCs w:val="18"/>
        </w:rPr>
        <w:t xml:space="preserve">145 taxa; Boye stream only (March 2025). Expressed as density (individuals/m²). FFG = Functional Feeding Group, reflecting how each taxon processes organic matter and its link to decomposition.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200"/>
        <w:gridCol w:w="6058"/>
      </w:tblGrid>
      <w:tr>
        <w:trPr>
          <w:tblHeader/>
        </w:trPr>
        <w:tc>
          <w:tcPr>
            <w:tcW w:type="dxa" w:w="32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Taxon</w:t>
            </w:r>
          </w:p>
        </w:tc>
        <w:tc>
          <w:tcPr>
            <w:tcW w:type="dxa" w:w="25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Taxonomic Group / Order</w:t>
            </w:r>
          </w:p>
        </w:tc>
        <w:tc>
          <w:tcPr>
            <w:tcW w:type="dxa" w:w="22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Functional Feeding Group (FFG)</w:t>
            </w:r>
          </w:p>
        </w:tc>
        <w:tc>
          <w:tcPr>
            <w:tcW w:type="dxa" w:w="605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 in Decomposition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Pisidium amnicum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Bivalvia – Sphaeriidae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Filters FPOM from the water column. Abundance reflects availability of fine decomposition products. Use as an indicator of FPOM production resulting from upstream CPOM breakdown.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Pisidium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Bivalvia – Sphaeriidae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As above. Fine-scale FPOM filter-feeder; density signals organic enrichment and decomposition activity in the reach.</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Sphaerium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Bivalvia – Sphaeriidae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Larger sphaeriid bivalve; filter-feeds on FPOM and suspended organic particles. Use to assess FPOM standing stock — a measure of decomposition output.</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Agabus sp.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Dytiscidae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diving beetle larva. Regulates invertebrate community including shredder prey populations. Indirect negative effect on biotic decomposition if shredder pressure is reduced.</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Agabus sturmii Ad.</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Dytiscidae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Adult predatory diving beetle. Regulates invertebrate community structure; indicator of structurally intact stream food web.</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Dytiscidae Gen. Sp.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Dytiscidae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diving beetle larvae (unidentified). Top invertebrate predators; regulate shredder/collector abundances and thus indirectly modulate biotic decomposition rates.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Nebrioporus elegans Ad.</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Dytiscidae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diving beetle; requires well-oxygenated streams. Presence indicates good water quality conditions that support active decomposer communities.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Platambus maculatus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Dytiscidae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diving beetle larva; associated with clean, flowing water. Indicator of habitat quality supportive of diverse decomposer communities.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Elmis aenea/maugetii Ad.</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Elmidae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Grazer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Riffle beetle adult; scrapes biofilm and periphyton including the fungal hyphomycete conditioning film on leaf litter. Grazes on the microbial layer — directly interacts with the decomposition biofilm on CPOM.</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Elmis sp.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Elmidae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Grazer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Riffle beetle larva; scrapes epilithic biofilm including decomposer fungi from substrates and CPOM surfaces. Presence indicates well-oxygenated, low-pollution conditions.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Limnius volckmari Lv.</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Elmidae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Grazer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Riffle beetle larva; scrapes biofilm from stones and CPOM. Contributes to turnover of the microbial conditioning layer on leaf litter surfaces.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Oulimnius tuberculatus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Elmidae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Grazer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Riffle beetle larva; occurs on hard substrates and CPOM in clean streams. Biofilm grazer; sensitive to pollution — indicates unimpacted conditions where decomposition potential is high.</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Gyrinus sp. Ad.</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Gyrinidae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Scavenger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Whirligig beetle; surface-active predator/scavenger. Indirect role — regulates surface invertebrate community; indicator of structurally intact stream habitat.</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Orectochilus villosus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Gyrinidae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Scavenger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Whirligig beetle larva; inhabits stream margins. Scavenger/predator; indicator of clean, well-structured marginal habitat.</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Laccobius sp. Ad.</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Hydrophilidae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Grazer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scavenger beetle; collects FPOM and grazes on algae. Indicator of organic matter accumulation from decomposition activity.</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Elodes minuta-Gr. Lv.</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Coleoptera – Scirtidae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Marsh beetle larva; inhabits CPOM-rich leaf packs and riparian margins. Shreds and collects decomposing leaf material — directly contributes to CPOM breakdown and FPOM production. Include in shredder guild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Asellidae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Isopoda</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Aquatic isopod family (water lice); dominant CPOM shredder in many European lowland streams. Directly processes leaf litter into FPOM. Abundance strongly predicts leaf litter decomposition rates — a core biotic predictor variable.</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Asellus aquaticus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Isopoda</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louse; key CPOM shredder in nutrient-enriched, low-gradient streams. Particularly important at Boye sites with high agricultural nutrient loading. Use density as a direct biotic decomposition predictor alongside Gammarus.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Proasellus coxalis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Isopoda</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aquatic isopod; processes leaf litter and fine organic material in slower-flow reaches. Contributes to biotic decomposition in leaf packs. Include in the total isopod shredder index.</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Gammarus fossarum</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Amphipoda</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Primary shredder in clean central European headwater streams. One of the most important macroinvertebrate decomposers in Europe — abundance frequently used as the primary biotic predictor of leaf litter decomposition rate. Highly sensitive to pollution.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Gammarus pulex</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Amphipoda</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 dominant shredder in enriched, lowland streams. Highly responsive to temperature and nutrient conditions. A key functional species for decomposition — use density as a core biotic predictor variable in decomposition rate models.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Gammarus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Crustacea – Amphipoda</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Unidentified Gammarus (may include fossarum, pulex, or roeselii). Use total Gammarus biomass/density as the primary biotic decomposition predictor — aggregating species avoids ID uncertainty while preserving functional signal.</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Atrichops crassipes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Athericidae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fly larva; inhabits clean, well-oxygenated streams. Indicator of high water quality conditions that support active and diverse decomposer communities.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Ceratopogoninae/Palpomyiinae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Ceratopogonidae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Biting midge larvae; mixed feeding on small invertebrates and FPOM. Contribute to organic matter processing in leaf packs and hyporheic zone.</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Dasyheleinae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Ceratopogonidae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Biting midge subfamily; gathers FPOM from sediments. Indicators of fine organic matter accumulation — a decomposition output measure.</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Chironomidae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Various</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Midge larvae (unidentified family); functionally diverse — collectors, scrapers, predators. Dominant in enriched conditions. Total density reflects organic matter availability resulting from decomposition across the site.</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Chironomini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Tribe of midges associated with enriched, fine-sediment conditions. Collect FPOM from sediments — indicators of high decomposition output and organic loading.</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Chironomus thummi-Gr.</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Pollution-tolerant midge; found in low-DO, organically enriched conditions. High abundance indicates conditions that suppress aerobic decomposition pathways. Use as a biotic indicator of impaired decomposition conditions.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Orthocladiinae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Midge subfamily; many species scrape biofilm from stones and CPOM. Interact with the microbial conditioning layer on leaf litter — part of the biofilm community shaping microbial decomposition 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Prodiamesa olivacea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midge; indicator of moderate organic enrichment. Gathers FPOM from fine sediments, reflecting decomposition processing activity.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Tanypodinae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Predatory midge subfamily; regulate collector and shredder invertebrate communities. Indirect effect on decomposition through top-down control of CPOM-processing taxa.</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Tanytarsini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Chironomidae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Collector-filterer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Filter-feeding/collector midge tribe; associated with clean water and fine FPOM. Indicate well-oxygenated conditions and active FPOM transport — decomposition output signal.</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Dixa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Dixidae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Meniscus midge; collects FPOM at the water surface film. Indicator of FPOM availability at the air-water interface — reflects active decomposition and organic matter processing.</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Dolichopodidae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Dolichopodidae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Long-legged fly larvae; predatory in riparian habitats. Indirect role in community regulation; indicator of riparian habitat quality supporting CPOM inputs.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Chelifera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Empididae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Dance fly larva; predatory on other invertebrates. Regulates prey invertebrate (including shredder) populations; indirect effect on biotic decomposition 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Clinocerinae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Empididae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Dance fly subfamily; aquatic predators in leaf packs. Regulate invertebrate community; indicators of healthy stream food web supporting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Hemerodromia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Empididae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Dance fly larva; predatory. Indicates clean water conditions. Indirect role in decomposition through food web regulation.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Hydrellia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Ephydridae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 / Leaf miner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Shore fly larva; mines aquatic plants and collects FPOM. Indicator of plant material decomposition at stream margins — a minor but distinct decomposition pathway.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Discobola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Limoniidae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inhabits CPOM-rich areas. Shreds leaf litter and decomposing organic matter — directly contributes to CPOM fragmentation into FPOM. Include in shredder guild analysis.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Eloeophila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Limoniidae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processes decomposing leaf and plant material. Direct shredder contribution to CPOM breakdown. Include in total shredder biomass/density index.</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Pilaria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Limoniidae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mixed predator/collector in organic-rich substrates. Processes some organic material in leaf packs; indicator of CPOM-rich habitat.</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Pseudolimnophila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Limoniidae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inhabits organic-rich substrates, shredding decaying material. Contributes to CPOM processing — add to shredder index for decomposition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Lispe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Muscidae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Muscid fly larva; predatory at stream margins. Indicator of riparian habitat quality associated with CPOM input to the stream.</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Dicranota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Pediciidae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predatory on small invertebrates in leaf packs and substrates. Regulates decomposer invertebrate community within leaf packs — indirect effect on CPOM processing rates.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Psychodidae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Psychodidae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Moth fly larvae; collect FPOM and algae from moist, organic substrates. Indicators of organic matter accumulation associated with decomposition activity in marginal habitats.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Ptychoptera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Ptychopteridae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Crane fly larva; processes decaying leaf and plant material in soft marginal sediments. Contributes to CPOM breakdown in slower-flow habitats — include in shredder analysis for marginal sites.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Rhagionidae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Rhagionidae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Snipe fly larvae; predatory in leaf packs and soil. Indicate organic-rich, well-structured riparian habitats with active CPOM inputs.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Simulium aureum-Gr.</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Simuliidae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Blackfly; filter-feeds on FPOM and CPOM fragments drifting from upstream. Indicates well-oxygenated, flowing water. High density reflects active upstream CPOM fragmentation — an indirect signal of decomposition activity.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Simulium intermedium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Simuliidae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Blackfly species; filter-feeds on particulate organic material. Use density as a downstream indicator of FPOM transport from active decomposition reaches.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Simulium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Simuliidae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Blackfly (unidentified species); filter-feeds on organic particles. Aggregate density reflects FPOM availability in the water column — a downstream signal of CPOM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Simulium vernum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Simuliidae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Common blackfly species; associated with clean, flowing water. Indicator of good water quality and active organic matter transport from upstream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Odontomyia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Stratiomyiidae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Soldier fly larva; gathers FPOM from shallow, organic-rich substrates. Indicator of decomposition-associated organic matter accumulation in marginal habitats.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Stratiomyiidae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Stratiomyiidae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Soldier fly family; collect FPOM from marginal habitats. Indicators of organic matter accumulation from decomposition at stream margins.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Chrysops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Tabanidae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Horse fly larva; predatory in sediments. Indicator of riparian habitat quality; minor indirect role in invertebrate community regulation.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Tipula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Diptera – Tipulidae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 crane fly larva; one of the most important shredders of terrestrial leaf litter entering streams. Directly processes CPOM into FPOM. Use density alongside Gammarus and Asellus as a primary biotic decomposition predictor.</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Baetidae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Baetidae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Swimmer mayfly family; scrape biofilm and collect FPOM. Graze on the microbial conditioning film on leaf litter. Good indicators of water quality — their diversity reflects habitat conditions that support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Baetis rhodani</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Baetidae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Common swimmer mayfly; scrapes epilithic algae and biofilm including hyphomycete fungi on leaf litter. Directly grazes on the conditioning biofilm — links scraper activity to microbial decomposition 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Baetis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Baetidae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Swimmer mayfly (unidentified species); wide ecological range. Important indicator of overall stream health and biofilm productivity linked to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Centroptilum luteolum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Baetidae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Mayfly associated with fine, flowing habitat; scraper-collector. Indicator of moderate to good water quality; associated with active biofilm on organic substrates.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Cloeon dipterum</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Baetidae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Still/slow water mayfly; gathers FPOM from fine sediments. Associated with slow-flow, organic-rich reaches where decomposition outputs accumulate — an indicator of FPOM availability.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Caenis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Caenidae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mayfly; gathers FPOM from fine sediments and detrital material. High density indicates abundant FPOM from decomposition activity. Pollution-tolerant — use with other indicators to contextualise site quality.</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Ephemera danica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Ephemeridae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 burrowing mayfly; gathers FPOM from clean gravel/sand sediments. Presence indicates substrates with high organic content from decomposition. Good overall water quality indicator — its presence signals conditions favouring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Leptophlebiidae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Ephemeroptera – Leptophlebiidae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Mayfly family; some species shred CPOM, others collect FPOM. Indicator of CPOM availability and good water quality. Include relevant species in shredder guild analysis.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Bithynia tentaculata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Bithyniidae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Collector-filterer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Freshwater snail; scrapes algae and biofilm; also filter-feeds on fine particles. Grazes on the microbial conditioning film on leaf surfaces — influencing microbial decomposition rates indirectly.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Potamopyrgus antipodarum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Hydrobiidae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Invasive New Zealand mudsnail; very dense populations significantly reduce microbial biomass (including hyphomycetes) on leaf litter, potentially slowing conditioning and decomposition rates. Use density as a negative biotic modifier of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Galba truncatula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Lymnaeidae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freshwater snail; scrapes algae and detritus from substrates. Indicator of marginal, slow-flow habitats with active organic matter accumulation from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Radix balthica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Lymnaeidae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Common freshwater snail; scrapes periphyton and detritus from plant and leaf surfaces. Directly interacts with the conditioning biofilm on leaf litter — relevant to conditioning stage of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Stagnicola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Lymnaeidae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Freshwater snail; inhabits still or slow-flow areas with abundant vegetation and organic matter. Scrapes biofilm from substrates including decomposing material in marginal habitats.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Physella acuta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Physidae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Invasive freshwater snail; associated with organically enriched, slow-flow conditions. Indicator of high nutrient loading associated with agricultural decomposition-relevant conditions.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Ancylus fluviatilis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Ancylidae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River limpet; specialist scraper of epilithic biofilm on hard substrates in flowing water. Presence indicates clean, well-oxygenated water with healthy biofilm — conditions that support optimal microbial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Anisus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Planorbidae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Ramshorn snail; scrapes algae and detritus in slow-flow, vegetated habitats. Indicator of organic matter accumulation in marginal areas — associated with decomposition-rich environments.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Bathyomphalus contortus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Gastropoda – Planorbidae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Coiled ramshorn snail; scrapes biofilm and detritus in still/slow water with abundant organic matter. Indicator of productive, decomposition-active marginal habitats.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Corixidae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Hemiptera – Corixidae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 / 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boatmen; collect algae and FPOM; some species predatory. Inhabit lentic/slow-flow areas with organic matter — indicators of decomposition-rich, productive habitats.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Sigara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Hemiptera – Corixidae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Algal grazer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boatman; collects algae and fine organic particles. Presence in slow reaches indicates organic enrichment associated with active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Ranatra linearis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Hemiptera – Nepidae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stick insect; predator of small invertebrates in slow, vegetated water. Indicator of complex, productive habitat. Indirect role via predation on invertebrate community.</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Dina punctata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Erpobdellidae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Leech; predatory on invertebrates and worms. Regulates worm/collector populations that process FPOM. Indicator of moderate organic enrichment.</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Dina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Erpobdellidae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Leech (unidentified Dina species); predatory. Indicator of moderate organic enrichment and FPOM accumulation in the habitat.</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Erpobdella octoculata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Erpobdellidae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Common leech; predatory on worms and Chironomidae. Highly pollution-tolerant. High density indicates impaired water quality conditions that suppress sensitive decomposer taxa — use as a biotic quality indicator for decomposition context.</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Erpobdella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Erpobdellidae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Unidentified Erpobdella leech; predatory and pollution-tolerant. Elevated density signals polluted, organically enriched conditions unfavourable to sensitive shredder-dominated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Erpobdellidae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Erpobdellidae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Erpobdellid leech family. Pollution-tolerant predators. Use presence/abundance as a biotic indicator of impaired conditions affecting decomposition community quality.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Glossiphonia complanata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Glossiphoniidae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Parasite</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Flattened leech; feeds on snails, worms, and small invertebrates. Indicator of moderate organic enrichment associated with decomposition in the reach.</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Helobdella stagnalis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Glossiphoniidae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Parasite</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leech; predatory on Tubifex and oligochaete worms. Tolerant of enriched conditions; indicator of FPOM-rich, organic substrates resulting from active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Theromyzon tessulatum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Glossiphoniidae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Ectoparasite</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Duck leech; parasitises waterfowl. Indicates waterfowl use of the site and associated nutrient inputs. Not a direct decomposition actor; use as an ancillary land-use/disturbance indicator.</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Haemopis sanguisuga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Hirudinea – Haemopidae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Scavenger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Horse leech; large predator/scavenger feeding on worms, snails, and carrion. Indicator of habitats with abundant detritus and organic material from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Hydrachnidia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Arachnida – Hydrachnidia</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Parasite</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Water mites; predatory on small invertebrates; larval stage is parasitic on aquatic insects. Regulate Chironomidae and other FPOM-processing populations. Indicators of good water quality — use to assess overall biotic decomposition community integrity.</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Lepidoptera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Lepidoptera – Aquatic moths</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Aquatic moth larvae; shred submerged or emergent plant material. Minor shredder contribution to CPOM processing in marginal habitats with abundant emergent vegetation.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Sialis lutaria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Megaloptera – Sialidae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Alder fly larva; primarily predatory on invertebrates in leaf packs; incidentally processes CPOM. Indicator of clean, slow-flow streams with abundant leaf litter. Predation on shredders may reduce biotic decomposition if abundant.</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Calopteryx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Calopterygidae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Demoiselle damselfly larva; predatory. Indicator of clean, moderate-flow streams with good riparian vegetation — conditions that support diverse shredder communities and active leaf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Calopteryx splendens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Calopterygidae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Banded demoiselle; indicator of clean, flowing streams with good riparian structure — precisely the conditions that maximise CPOM input and shredder-mediated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Calopteryx virgo</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Calopterygidae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Beautiful demoiselle; indicator of clean, shaded, fast-flowing streams with abundant CPOM. A flagship species for high-quality stream conditions that support rapid leaf litter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Ischnura elegans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Coenagrionidae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Blue-tailed damselfly larva; slow-flow, vegetated habitat indicator. Predator of small invertebrates; indicator of moderate water quality associated with vegetated, FPOM-rich habitats.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Pyrrhosoma nymphula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Coenagrionidae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 red damselfly larva; slow-flow habitats with vegetation and organic matter. Predator; indicator of moderate water quality and productive habitat with decomposition activity.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Cordulegaster boltonii</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Cordulegastridae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Gold-ringed dragonfly; inhabits clean, headwater streams with leaf litter and gravel. Top invertebrate predator; presence indicates pristine conditions supporting maximum decomposition potential.</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Orthetrum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Odonata – Libellulidae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Skimmer dragonfly larva; inhabits slow to moderate flow. Predator; indicator of moderate water quality and invertebrate community diversity associated with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Naididae/Tubificidae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Naididae/Tubificidae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Deposit feeder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Aquatic worms; gather and deposit-feed on FPOM in sediments. High abundance indicates organically enriched conditions and abundant decomposition products (FPOM). Key processors of fine organic matter — use density as an FPOM availability indicator.</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(unidentified)</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Deposit feeder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Aquatic worms (unidentified family); deposit-feed on FPOM and bacteria in sediments. Use density as an indicator of FPOM accumulation — a downstream measure of decomposition output across sites.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Enchytraeidae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Enchytraeidae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 worms; inhabit moist sediments and hyporheic zone; process fine organic material including fungal hyphae and bacteria. Active in early decomposition stages in riparian and hyporheic zones — link to microbial decomposition pathway.</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Eiseniella tetraedra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Lumbricidae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Aquatic earthworm; burrows in sediment and processes both CPOM and FPOM. Contributes directly to leaf litter breakdown in streambed sediments and leaf packs. Use abundance as a direct biotic decomposition predictor, especially in slower-flow sites.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Lumbriculus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Lumbriculidae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Blackworm; inhabits fine sediments; processes FPOM and bacteria. Indicator of organic enrichment from decomposition. Bioturbation enhances microbial access to buried organic substrates.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Lumbriculus variegatus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Lumbriculidae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California blackworm; processes FPOM and detritus. Bioturbation by this species stimulates microbial activity in sediments, potentially accelerating decomposition in buried leaf packs.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Stylodrilus heringianus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Lumbriculidae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Lumbriculid worm; indicator of clean, oxygenated gravel. Processes FPOM in interstitial spaces of leaf packs and gravel substrates — links hyporheic zone to the wider decomposition process.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Limnodrilus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Oligochaeta – Naididae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Collector-gatherer / Deposit feeder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Tubificid worm; highly pollution-tolerant; deposit-feeds on FPOM and bacteria in fine sediments. High abundance signals organic enrichment and potentially anaerobic conditions altering decomposition pathways. Use as an impairment indicator.</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Leuctra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Plecoptera – Leuctridae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Needlefly stonefly; one of the primary CPOM shredders in European streams. Directly processes leaf litter into FPOM. Very sensitive to pollution — use as a biotic decomposition predictor AND a water quality indicator for clean reference conditions.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Amphinemura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Plecoptera – Nemouridae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Stonefly; shreds leaf litter and CPOM. Sensitive to enrichment and pollution — absence indicates impaired conditions. Use abundance as a biotic decomposition predictor that declines with increasing anthropogenic stress.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Nemoura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Plecoptera – Nemouridae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Stonefly; shreds decaying leaf litter in spring and seep streams. Sensitive to acidification and enrichment. Use abundance to assess shredder-mediated decomposition potential at cold, groundwater-influenced Boye sites.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Beraeodes minutus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Beraeidae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Small caddisfly; scrapes organic material from stone surfaces in clean, low-gradient streams. Indicator of high-quality conditions supportive of active biofilm-based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Lithax obscurus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Goeridae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Caddisfly; scrapes algae and FPOM from stones. Presence indicates good water quality and a healthy biofilm community interacting with decomposition on substrates.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Silo nigricornis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Goeridae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 / 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Caddisfly; scrapes epilithic algae and may shred CPOM. Indicator of clean, well-oxygenated streams with mixed feeding on biofilm and organic matter.</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Hydropsyche angustipennis angustipennis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Hydropsychidae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Net-spinning caddisfly; filters FPOM and CPOM fragments from flowing water. High abundance reflects active CPOM fragmentation and FPOM production upstream — a key indicator of organic matter transport from decomposition sites.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Hydropsyche pellucidula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Hydropsychidae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Net-spinning caddisfly; filters organic particles. Indicates moderate water quality. Use density to infer FPOM availability and organic matter transport from upstream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Hydropsyche siltalai</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Hydropsychidae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Net-spinning caddisfly; associated with clean, flowing water. Filter-feeds on drifting organic particles — indicator of good-quality organic matter transport from active decomposition reaches.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Hydropsyche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Hydropsychidae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Net-spinning caddisfly (unidentified species). Use total Hydropsyche density as an indicator of FPOM transport and organic matter flux from upstream decomposition activity.</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Athripsodes bilineatus bilineatus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Leptoceridae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Collector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Long-horned caddisfly; predatory or omnivorous in clean, well-oxygenated streams. Indicator of good water quality conditions that support diverse decomposer communities.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Athripsodes cinereus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Leptoceridae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Collector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Long-horned caddisfly; inhabits clean streams. Collector-predator; indicates good water quality conditions for active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Oecetis testacea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Leptoceridae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Long-horned caddisfly; predatory. Indicator of good water quality and diverse invertebrate community associated with active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Anabolia nervosa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Case-building caddisfly; shreds CPOM (leaves and plant material). Direct contributor to leaf litter breakdown. Include in the biotic decomposition predictor alongside Gammarus, stoneflies, and Asellus.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Chaetopterygini/Stenophylacini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tribe; predominantly shredders of CPOM. Important leaf litter processors in clean European streams — include in aggregate shredder functional group analysis.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Chaetopteryx villosa villosa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Autumn-emerging limnephilid; shreds autumn leaf litter specifically. Particularly important for early-stage CPOM breakdown in autumn and early spring (March). Use density as a seasonal shredder indicator.</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Glyphotaelius pellucidus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leaf litter in slow-flow areas. Direct CPOM processor — include alongside other shredders in biotic decomposition predictor variables.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Halesus radiatus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CPOM in moderate-flow streams. A key shredder in central European streams — use density as a core biotic decomposition predictor variable.</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Halesus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Halesus caddisfly (unidentified species); shredder of CPOM. Use total Halesus density as a shredder predictor variable in decomposition models.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Ironoquia dubia</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decomposing leaf material in clean, well-shaded streams. Contributes to CPOM processing; use in shredder assemblage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Limnephilidae Gen.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family (unidentified); predominantly CPOM shredders. This is the most important caddisfly family for leaf litter decomposition. Aggregate density is a core biotic variable for decomposition analysis.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Limnephilini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tribe; shredders of CPOM. Include in aggregate shredder index for decomposition analysis alongside all other limnephilid taxa.</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Limnephilus extricatus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CPOM in flowing and standing water. Indicator of diverse, CPOM-rich habitats — include in biotic decomposition model.</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Limnephilus lunatus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Common limnephilid; shreds leaf litter and CPOM in various habitat types. Direct CPOM processor — include in biotic decomposition model.</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Limnephilus rhombicus rhombicus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CPOM. Add to the shredder functional group index for decomposition analysis.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Micropterna lateralis/sequax</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Spring-associated limnephilid; shreds CPOM in cold, spring-fed streams. Indicator of high-quality, cold-water habitats with unimpaired decomposition potential — valuable for identifying reference condition sites.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Potamophylax cingulatus cingulatus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Large limnephilid caddisfly; shreds large leaf fragments and CPOM. One of the larger-bodied shredders — use biomass (not just density) as a decomposition predictor for this taxon.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Potamophylax rotundipennis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CPOM in moderate-flow streams. Direct CPOM processor — include in shredder assemblage analysis for decomposition.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Stenophylax permistus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terrestrial leaf material entering streams. Autumnal species particularly important for early-season CPOM processing — relevant to the March 2025 campaign timing.</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Stenophylax vibex</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Limnephilidae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Limnephilid caddisfly; shreds CPOM. Direct leaf litter processor — include in shredder functional group index for decomposition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Plectrocnemia conspersa conspersa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Polycentropodidae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Net-building caddisfly; predatory on invertebrates in clean, shaded headwater streams. Predation on smaller invertebrates may regulate FPOM-processing community — indicator of top-down food web control on decomposition.</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Plectrocnemia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Polycentropodidae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Net-building caddisfly; predatory. Indicator of clean, shaded stream conditions. Indirect role in decomposition through food web regulation.</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Polycentropus irroratus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Polycentropodidae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Net-building caddisfly; filter-feeds on FPOM and small invertebrates. Intercepts organic particles drifting from decomposition sites — use density as a downstream FPOM signal.</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Polycentropus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Polycentropodidae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Filter-feeder / 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Net-building caddisfly (unidentified); filter-feeder/predator. Captures drifting FPOM — indicator of active decomposition and organic matter transport in the reach.</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Lype reducta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Psychomyiidae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Psychomyiid caddisfly; scrapes algae and FPOM from woody debris (xylal) and stone surfaces. Use to assess organic matter processing on woody debris — a distinct decomposition pathway separate from leaf litter.</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Lype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Psychomyiidae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Psychomyiid caddisfly; scrapes FPOM and biofilm from substrates including xylal and CPOM. Directly interacts with microbial conditioning biofilm on organic substrates.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Tinodes pallidulus</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Psychomyiidae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Psychomyiid caddisfly; scrapes algae and FPOM from stones. Indicator of clean, moderate water quality. Associated with biofilm communities on organic substrates.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Tinodes waeneri waeneri</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Psychomyiidae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Scraper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Psychomyiid caddisfly; scrapes algae and biofilm from stones and CPOM surfaces. Grazes directly on the microbial conditioning film — a grazer-decomposer interaction relevant to decomposition rate models.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Rhyacophila dorsalis/nubila</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Rhyacophilidae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Free-living predatory caddisfly; indicator of clean, well-oxygenated streams. Predation on shredder communities may indirectly modulate decomposition rates — indicator of reference-quality conditions.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Notidobia ciliaris</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Sericostomatidae</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Sericostomatid caddisfly; shreds leaf litter and CPOM. Contributes to leaf litter decomposition in clean, sandy-substrate streams — include in the shredder assemblage variable for decomposition analysis.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Sericostoma flavicorne/personatum</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Trichoptera – Sericostomatidae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Sericostomatid caddisfly; shreds CPOM including leaves and woody material in clean, moderate-flow streams. Important shredder — include in biotic decomposition predictor models alongside Gammarus and limnephilids.</w:t>
            </w:r>
          </w:p>
        </w:tc>
      </w:tr>
      <w:tr>
        <w:tc>
          <w:tcPr>
            <w:tcW w:type="dxa" w:w="3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Turbellaria Gen. Sp.</w:t>
            </w:r>
          </w:p>
        </w:tc>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Turbellaria – Flatworms</w:t>
            </w:r>
          </w:p>
        </w:tc>
        <w:tc>
          <w:tcPr>
            <w:tcW w:type="dxa" w:w="22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w:t>
            </w:r>
          </w:p>
        </w:tc>
        <w:tc>
          <w:tcPr>
            <w:tcW w:type="dxa" w:w="60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Freshwater flatworms; predatory on small invertebrates and worms. Indicate moderate water quality and presence of diverse invertebrate prey including FPOM-processing collectors.</w:t>
            </w:r>
          </w:p>
        </w:tc>
      </w:tr>
      <w:tr>
        <w:tc>
          <w:tcPr>
            <w:tcW w:type="dxa" w:w="3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Dugesia sp.</w:t>
            </w:r>
          </w:p>
        </w:tc>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Turbellaria – Planariidae</w:t>
            </w:r>
          </w:p>
        </w:tc>
        <w:tc>
          <w:tcPr>
            <w:tcW w:type="dxa" w:w="22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Predator / Scavenger</w:t>
            </w:r>
          </w:p>
        </w:tc>
        <w:tc>
          <w:tcPr>
            <w:tcW w:type="dxa" w:w="60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Planarian flatworm; predatory on small invertebrates; scavenges on dead organic material including leaf litter. Presence indicates clean, circumneutral water. Scavenging on CPOM represents a minor but direct decomposition pathway.</w:t>
            </w:r>
          </w:p>
        </w:tc>
      </w:tr>
    </w:tbl>
    <w:p>
      <w:pPr>
        <w:spacing w:before="80" w:after="80"/>
      </w:pPr>
      <w:r>
        <w:t xml:space="preserve"/>
      </w:r>
    </w:p>
    <w:p>
      <w:r>
        <w:br w:type="page"/>
      </w:r>
    </w:p>
    <w:p>
      <w:pPr>
        <w:pStyle w:val="Heading1"/>
        <w:spacing w:before="360" w:after="160"/>
      </w:pPr>
      <w:r>
        <w:rPr>
          <w:rFonts w:ascii="Arial" w:cs="Arial" w:eastAsia="Arial" w:hAnsi="Arial"/>
          <w:b/>
          <w:bCs/>
          <w:color w:val="1F4E79"/>
          <w:sz w:val="30"/>
          <w:szCs w:val="30"/>
        </w:rPr>
        <w:t xml:space="preserve">Summary — Variable Count and Decomposition Relevance</w:t>
      </w:r>
    </w:p>
    <w:p>
      <w:pPr>
        <w:spacing w:before="0" w:after="100"/>
      </w:pPr>
      <w:r>
        <w:rPr>
          <w:rFonts w:ascii="Arial" w:cs="Arial" w:eastAsia="Arial" w:hAnsi="Arial"/>
          <w:i/>
          <w:iCs/>
          <w:color w:val="555555"/>
          <w:sz w:val="18"/>
          <w:szCs w:val="18"/>
        </w:rPr>
        <w:t xml:space="preserve">Overview of all variable categories, counts, stream coverage, and their primary role in decomposition analysis.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8358"/>
      </w:tblGrid>
      <w:tr>
        <w:trPr>
          <w:tblHeader/>
        </w:trPr>
        <w:tc>
          <w:tcPr>
            <w:tcW w:type="dxa" w:w="25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Variable Category</w:t>
            </w:r>
          </w:p>
        </w:tc>
        <w:tc>
          <w:tcPr>
            <w:tcW w:type="dxa" w:w="15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 of Variables</w:t>
            </w:r>
          </w:p>
        </w:tc>
        <w:tc>
          <w:tcPr>
            <w:tcW w:type="dxa" w:w="1600"/>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Stream(s)</w:t>
            </w:r>
          </w:p>
        </w:tc>
        <w:tc>
          <w:tcPr>
            <w:tcW w:type="dxa" w:w="8358"/>
            <w:tcBorders>
              <w:top w:val="single" w:color="B0C4D8" w:sz="4"/>
              <w:left w:val="single" w:color="B0C4D8" w:sz="4"/>
              <w:bottom w:val="single" w:color="B0C4D8" w:sz="4"/>
              <w:right w:val="single" w:color="B0C4D8"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Role in Decomposition Analysis</w:t>
            </w:r>
          </w:p>
        </w:tc>
      </w:tr>
      <w:tr>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Physicochemical</w:t>
            </w:r>
          </w:p>
        </w:tc>
        <w:tc>
          <w:tcPr>
            <w:tcW w:type="dxa" w:w="1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26 (Boye) / 25 (Kinzig)</w:t>
            </w:r>
          </w:p>
        </w:tc>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83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Core environmental drivers — temperature, DO, nutrients (N, P), pH, metals, and ions explain why decomposition rates vary across sites. Used as predictor variables in regression and multivariate models.</w:t>
            </w:r>
          </w:p>
        </w:tc>
      </w:tr>
      <w:tr>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Substrate / Habitat</w:t>
            </w:r>
          </w:p>
        </w:tc>
        <w:tc>
          <w:tcPr>
            <w:tcW w:type="dxa" w:w="1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12 (identical)</w:t>
            </w:r>
          </w:p>
        </w:tc>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83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CPOM and FPOM directly measure substrate and decomposition products. Psam and tech_1 indicate degraded habitat suppressing decomposition. Makro/meso/mikro indicate shredder habitat availability.</w:t>
            </w:r>
          </w:p>
        </w:tc>
      </w:tr>
      <w:tr>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Temperature Logger</w:t>
            </w:r>
          </w:p>
        </w:tc>
        <w:tc>
          <w:tcPr>
            <w:tcW w:type="dxa" w:w="1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2</w:t>
            </w:r>
          </w:p>
        </w:tc>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Boye only</w:t>
            </w:r>
          </w:p>
        </w:tc>
        <w:tc>
          <w:tcPr>
            <w:tcW w:type="dxa" w:w="83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Provide continuous thermal data (mean + variability) for degree-day calculations — the standard thermal normalisation for comparing decomposition rates across sites with different temperature regimes.</w:t>
            </w:r>
          </w:p>
        </w:tc>
      </w:tr>
      <w:tr>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Land Use</w:t>
            </w:r>
          </w:p>
        </w:tc>
        <w:tc>
          <w:tcPr>
            <w:tcW w:type="dxa" w:w="1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9</w:t>
            </w:r>
          </w:p>
        </w:tc>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w:t>
            </w:r>
          </w:p>
        </w:tc>
        <w:tc>
          <w:tcPr>
            <w:tcW w:type="dxa" w:w="83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Catchment-scale predictors (% agricultural, urban, rural) explain spatial patterns of nutrients, metals, and CPOM input — ultimate drivers of among-site variation in decomposition rates and community structure.</w:t>
            </w:r>
          </w:p>
        </w:tc>
      </w:tr>
      <w:tr>
        <w:tc>
          <w:tcPr>
            <w:tcW w:type="dxa" w:w="2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Macroinvertebrate Taxa</w:t>
            </w:r>
          </w:p>
        </w:tc>
        <w:tc>
          <w:tcPr>
            <w:tcW w:type="dxa" w:w="15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145 taxa</w:t>
            </w:r>
          </w:p>
        </w:tc>
        <w:tc>
          <w:tcPr>
            <w:tcW w:type="dxa" w:w="1600"/>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Boye only</w:t>
            </w:r>
          </w:p>
        </w:tc>
        <w:tc>
          <w:tcPr>
            <w:tcW w:type="dxa" w:w="8358"/>
            <w:tcBorders>
              <w:top w:val="single" w:color="B0C4D8" w:sz="4"/>
              <w:left w:val="single" w:color="B0C4D8" w:sz="4"/>
              <w:bottom w:val="single" w:color="B0C4D8" w:sz="4"/>
              <w:right w:val="single" w:color="B0C4D8" w:sz="4"/>
            </w:tcBorders>
            <w:shd w:fill="FFFFFF"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Shredders (Gammarus, Asellus, stoneflies, limnephilid caddisflies, Tipula) are the primary biotic predictors of leaf litter decomposition rates. Other FFGs (scrapers, collectors, predators) contextualise the food web controlling decomposition.</w:t>
            </w:r>
          </w:p>
        </w:tc>
      </w:tr>
      <w:tr>
        <w:tc>
          <w:tcPr>
            <w:tcW w:type="dxa" w:w="2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TOTAL</w:t>
            </w:r>
          </w:p>
        </w:tc>
        <w:tc>
          <w:tcPr>
            <w:tcW w:type="dxa" w:w="15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194 unique variable columns for combined sheet</w:t>
            </w:r>
          </w:p>
        </w:tc>
        <w:tc>
          <w:tcPr>
            <w:tcW w:type="dxa" w:w="1600"/>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Both (+ Boye-only)</w:t>
            </w:r>
          </w:p>
        </w:tc>
        <w:tc>
          <w:tcPr>
            <w:tcW w:type="dxa" w:w="8358"/>
            <w:tcBorders>
              <w:top w:val="single" w:color="B0C4D8" w:sz="4"/>
              <w:left w:val="single" w:color="B0C4D8" w:sz="4"/>
              <w:bottom w:val="single" w:color="B0C4D8" w:sz="4"/>
              <w:right w:val="single" w:color="B0C4D8" w:sz="4"/>
            </w:tcBorders>
            <w:shd w:fill="EBF3FA" w:val="clear"/>
            <w:tcMar>
              <w:top w:type="dxa" w:w="60"/>
              <w:left w:type="dxa" w:w="120"/>
              <w:bottom w:type="dxa" w:w="60"/>
              <w:right w:type="dxa" w:w="120"/>
            </w:tcMar>
          </w:tcPr>
          <w:p>
            <w:r>
              <w:rPr>
                <w:rFonts w:ascii="Arial" w:cs="Arial" w:eastAsia="Arial" w:hAnsi="Arial"/>
                <w:b w:val="false"/>
                <w:bCs w:val="false"/>
                <w:i w:val="false"/>
                <w:iCs w:val="false"/>
                <w:sz w:val="18"/>
                <w:szCs w:val="18"/>
              </w:rPr>
              <w:t xml:space="preserve">Full multi-stressor framework for decomposition analysis: abiotic drivers + habitat quality + land use + biotic community.</w:t>
            </w:r>
          </w:p>
        </w:tc>
      </w:tr>
    </w:tbl>
    <w:p>
      <w:pPr>
        <w:spacing w:before="80" w:after="80"/>
      </w:pPr>
      <w:r>
        <w:t xml:space="preserve"/>
      </w:r>
    </w:p>
    <w:sectPr>
      <w:headerReference w:type="default" r:id="rId6"/>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026"/>
      </w:tabs>
    </w:pPr>
    <w:r>
      <w:rPr>
        <w:rFonts w:ascii="Arial" w:cs="Arial" w:eastAsia="Arial" w:hAnsi="Arial"/>
        <w:color w:val="888888"/>
        <w:sz w:val="16"/>
        <w:szCs w:val="16"/>
      </w:rPr>
      <w:t xml:space="preserve">SFB Freshwater Research</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rFonts w:ascii="Arial" w:cs="Arial" w:eastAsia="Arial" w:hAnsi="Arial"/>
        <w:b/>
        <w:bCs/>
        <w:color w:val="1F4E79"/>
        <w:sz w:val="18"/>
        <w:szCs w:val="18"/>
      </w:rPr>
      <w:t xml:space="preserve">SFB Stream Study — Variable Reference Guide</w:t>
    </w:r>
    <w:r>
      <w:rPr>
        <w:rFonts w:ascii="Arial" w:cs="Arial" w:eastAsia="Arial" w:hAnsi="Arial"/>
        <w:color w:val="888888"/>
        <w:sz w:val="18"/>
        <w:szCs w:val="18"/>
      </w:rPr>
      <w:t xml:space="preserve">	Boye &amp; Kinzig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2026-03-09T09:49:23.496Z</dcterms:created>
  <dcterms:modified xsi:type="dcterms:W3CDTF">2026-03-09T09:49:23.496Z</dcterms:modified>
</cp:coreProperties>
</file>

<file path=docProps/custom.xml><?xml version="1.0" encoding="utf-8"?>
<Properties xmlns="http://schemas.openxmlformats.org/officeDocument/2006/custom-properties" xmlns:vt="http://schemas.openxmlformats.org/officeDocument/2006/docPropsVTypes"/>
</file>