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6E1B" w14:textId="77777777" w:rsidR="001A00E8" w:rsidRPr="00A40F8B" w:rsidRDefault="001A00E8" w:rsidP="001A00E8">
      <w:pPr>
        <w:rPr>
          <w:b/>
          <w:bCs/>
        </w:rPr>
      </w:pPr>
    </w:p>
    <w:p w14:paraId="13F3DBA7" w14:textId="77777777" w:rsidR="001A00E8" w:rsidRDefault="001A00E8" w:rsidP="001A00E8"/>
    <w:p w14:paraId="0D3E40FB" w14:textId="77777777" w:rsidR="001A00E8" w:rsidRDefault="001A00E8" w:rsidP="001A00E8">
      <w:r w:rsidRPr="009678F9">
        <w:t>H3: Fine substrate (Boye)</w:t>
      </w:r>
      <w:r w:rsidRPr="009678F9">
        <w:br/>
      </w:r>
      <w:r>
        <w:t>In the Boye catchment, I expect sites with higher proportions of fine substrate (FPOM + sand, ≥25% streambed cover) to exhibit slower total leaf decomposition rates (</w:t>
      </w:r>
      <w:proofErr w:type="spellStart"/>
      <w:r>
        <w:t>k_total</w:t>
      </w:r>
      <w:proofErr w:type="spellEnd"/>
      <w:r>
        <w:t>). Macroinvertebrate shredders, which typically drive 60-80% of mass loss in coarse-substrate streams, become physically excluded when fine sediments bury leaf packs and eliminate accessible habitat [Lepori et al., 2005].</w:t>
      </w:r>
    </w:p>
    <w:p w14:paraId="284F9036" w14:textId="77777777" w:rsidR="001A00E8" w:rsidRDefault="001A00E8" w:rsidP="001A00E8"/>
    <w:p w14:paraId="0F5C35D8" w14:textId="77777777" w:rsidR="001A00E8" w:rsidRDefault="001A00E8" w:rsidP="001A00E8">
      <w:r>
        <w:t>Meanwhile, microbial decomposers (</w:t>
      </w:r>
      <w:proofErr w:type="spellStart"/>
      <w:r>
        <w:t>k_microbial</w:t>
      </w:r>
      <w:proofErr w:type="spellEnd"/>
      <w:r>
        <w:t>) may benefit from prolonged leaf-water contact and increased colonization surface area created by sediment entrapment [Pascoal &amp; Cássio, 2004]. However, microbes alone decompose at 0.002–0.006 day</w:t>
      </w:r>
      <w:r>
        <w:rPr>
          <w:rFonts w:ascii="Cambria Math" w:hAnsi="Cambria Math" w:cs="Cambria Math"/>
        </w:rPr>
        <w:t>⁻</w:t>
      </w:r>
      <w:r>
        <w:t>¹ [</w:t>
      </w:r>
      <w:proofErr w:type="spellStart"/>
      <w:r>
        <w:t>Mckie</w:t>
      </w:r>
      <w:proofErr w:type="spellEnd"/>
      <w:r>
        <w:t xml:space="preserve"> et al., 2011; </w:t>
      </w:r>
      <w:proofErr w:type="spellStart"/>
      <w:r>
        <w:t>Canhoto</w:t>
      </w:r>
      <w:proofErr w:type="spellEnd"/>
      <w:r>
        <w:t xml:space="preserve"> et al., 2024; Graça et al., 2010]—3-5× slower than total k with shredders (~0.01-0.02 day</w:t>
      </w:r>
      <w:r>
        <w:rPr>
          <w:rFonts w:ascii="Cambria Math" w:hAnsi="Cambria Math" w:cs="Cambria Math"/>
        </w:rPr>
        <w:t>⁻</w:t>
      </w:r>
      <w:r>
        <w:t xml:space="preserve">¹). Thus, high-fine sites should show the lowest </w:t>
      </w:r>
      <w:proofErr w:type="spellStart"/>
      <w:r>
        <w:t>k_total</w:t>
      </w:r>
      <w:proofErr w:type="spellEnd"/>
      <w:r>
        <w:t>, confirming substrate structure as a key mediator.</w:t>
      </w:r>
    </w:p>
    <w:p w14:paraId="16FD1572" w14:textId="77777777" w:rsidR="0031215D" w:rsidRDefault="0031215D"/>
    <w:sectPr w:rsidR="0031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E8"/>
    <w:rsid w:val="00043F34"/>
    <w:rsid w:val="00192726"/>
    <w:rsid w:val="001A00E8"/>
    <w:rsid w:val="0031215D"/>
    <w:rsid w:val="00A40F8B"/>
    <w:rsid w:val="00DE1EF7"/>
    <w:rsid w:val="00F1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6C98D"/>
  <w15:chartTrackingRefBased/>
  <w15:docId w15:val="{85DE6015-6049-9841-ACA5-BF526CD7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0E8"/>
  </w:style>
  <w:style w:type="paragraph" w:styleId="Heading1">
    <w:name w:val="heading 1"/>
    <w:basedOn w:val="Normal"/>
    <w:next w:val="Normal"/>
    <w:link w:val="Heading1Char"/>
    <w:uiPriority w:val="9"/>
    <w:qFormat/>
    <w:rsid w:val="001A0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Agube</dc:creator>
  <cp:keywords/>
  <dc:description/>
  <cp:lastModifiedBy>Ikenna Agube</cp:lastModifiedBy>
  <cp:revision>3</cp:revision>
  <dcterms:created xsi:type="dcterms:W3CDTF">2026-03-31T15:20:00Z</dcterms:created>
  <dcterms:modified xsi:type="dcterms:W3CDTF">2026-03-31T15:21:00Z</dcterms:modified>
</cp:coreProperties>
</file>