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2"/>
          <w:szCs w:val="32"/>
        </w:rPr>
        <w:t xml:space="preserve">Revised Hypotheses</w:t>
      </w:r>
    </w:p>
    <w:p>
      <w:pPr>
        <w:spacing w:after="120"/>
        <w:jc w:val="center"/>
      </w:pPr>
      <w:r>
        <w:rPr>
          <w:i/>
          <w:iCs/>
          <w:sz w:val="24"/>
          <w:szCs w:val="24"/>
        </w:rPr>
        <w:t xml:space="preserve">Leaf decomposition in the Boye and Kinzig catchments</w:t>
      </w:r>
    </w:p>
    <w:p>
      <w:pPr>
        <w:spacing w:after="400"/>
        <w:jc w:val="center"/>
      </w:pPr>
      <w:r>
        <w:rPr>
          <w:sz w:val="24"/>
          <w:szCs w:val="24"/>
        </w:rPr>
        <w:t xml:space="preserve">Ikenna Stephen Agube</w:t>
      </w:r>
    </w:p>
    <w:p>
      <w:pPr>
        <w:pBdr>
          <w:bottom w:val="single" w:color="999999" w:sz="6" w:space="1"/>
        </w:pBdr>
        <w:spacing w:after="300"/>
      </w:pPr>
    </w:p>
    <w:p>
      <w:pPr>
        <w:pStyle w:val="Heading2"/>
      </w:pPr>
      <w:r>
        <w:t xml:space="preserve">H1: General hypothesis (both catchments)</w:t>
      </w:r>
    </w:p>
    <w:p>
      <w:pPr>
        <w:spacing w:after="120" w:line="360"/>
      </w:pPr>
      <w:r>
        <w:t xml:space="preserve">I hypothesize that a higher proportion of agricultural land use in the upstream catchment, as well as elevated conductivity, negatively affects leaf decomposition across both the Boye and Kinzig catchments. The proportion of agricultural land use has been identified as one of the most influential variables for the microbial decomposition of leaves, with a negative relationship to organic matter decomposition (Schreiner et al., 2023). Conductivity, as an integrative measure of dissolved ion concentrations, may further reflect the degree of anthropogenic alteration of stream water chemistry associated with both agricultural and urban-industrial land use (Bundschuh et al., 2021).</w:t>
      </w:r>
    </w:p>
    <w:p>
      <w:pPr>
        <w:spacing w:after="300" w:before="80"/>
      </w:pPr>
      <w:r>
        <w:rPr>
          <w:b/>
          <w:bCs/>
          <w:color w:val="4472C4"/>
          <w:sz w:val="20"/>
          <w:szCs w:val="20"/>
        </w:rPr>
        <w:t xml:space="preserve">Comments addressed: </w:t>
      </w:r>
      <w:r>
        <w:rPr>
          <w:i/>
          <w:iCs/>
          <w:color w:val="4472C4"/>
          <w:sz w:val="20"/>
          <w:szCs w:val="20"/>
        </w:rPr>
        <w:t xml:space="preserve">(1) "Land use intensity" replaced with "proportion of agricultural land use" to reflect the actual data (Pct_Agri). (2) "Combined with" replaced with "as well as" to avoid implying a statistical interaction. (3) "Dissolved ions (industrial input)" replaced with "conductivity" (Conductivity_uS_cm), a measurable integrative variable. (4) "Total leaf decomposition rates" broadened to "leaf decomposition" to encompass both microbial and total decomposition. (5) Personal justification sentence removed and replaced with literature-grounded rationale.</w:t>
      </w:r>
    </w:p>
    <w:p>
      <w:pPr>
        <w:pStyle w:val="Heading2"/>
      </w:pPr>
      <w:r>
        <w:t xml:space="preserve">H2: Comparative hypothesis (Boye vs. Kinzig)</w:t>
      </w:r>
    </w:p>
    <w:p>
      <w:pPr>
        <w:spacing w:after="120" w:line="360"/>
      </w:pPr>
      <w:r>
        <w:t xml:space="preserve">I expect that microbial leaf decomposition is differently affected by environmental stressors across the two study catchments. Specifically, I expect trace metal concentrations to negatively affect microbial decomposition in the Boye catchment, given its urban-industrial character and the known sensitivity of aquatic hyphomycetes and bacteria to metal contamination (Duarte et al., 2008; Ferreira et al., 2016). In contrast, I expect nutrient concentrations, particularly nitrate and phosphate, to positively drive microbial decomposition in the Kinzig catchment, where agricultural drainage can enrich streams with nitrogen and phosphorus that stimulate fungal and bacterial decomposer activity (Gulis &amp; Suberkropp, 2003; Robinson &amp; Gessner, 2000). The potential toxicity of individual trace elements will be considered following established toxic unit approaches (e.g., Feyen et al., 2022), rather than summing raw concentrations, to account for differences in toxicity among elements.</w:t>
      </w:r>
    </w:p>
    <w:p>
      <w:pPr>
        <w:spacing w:after="300" w:before="80"/>
      </w:pPr>
      <w:r>
        <w:rPr>
          <w:b/>
          <w:bCs/>
          <w:color w:val="4472C4"/>
          <w:sz w:val="20"/>
          <w:szCs w:val="20"/>
        </w:rPr>
        <w:t xml:space="preserve">Comments addressed: </w:t>
      </w:r>
      <w:r>
        <w:rPr>
          <w:i/>
          <w:iCs/>
          <w:color w:val="4472C4"/>
          <w:sz w:val="20"/>
          <w:szCs w:val="20"/>
        </w:rPr>
        <w:t xml:space="preserve">(6) Restructured as a direct cross-catchment comparison following Dr. Schreiner's suggested format, consolidating the former H2 and H4. (7) Trace metals no longer limited to Boye without justification; toxic unit approach referenced instead of sum concentrations; acknowledged that certain trace elements (e.g., Cu) can also originate from agricultural sources. (8) Decomposition type explicitly specified as "microbial." (12) The contradiction with H1 is resolved: H1 addresses agricultural land use proportion (negative), while this hypothesis addresses nutrient concentrations directly (positive in Kinzig), which are distinct variables. (13) Nutrient concentrations (NO3, PO4) are used directly rather than land use as a proxy. (14) Formulation clarified: microbial decomposer activity is the target, not a general statement about "initial breakdown."</w:t>
      </w:r>
    </w:p>
    <w:p>
      <w:pPr>
        <w:pStyle w:val="Heading2"/>
      </w:pPr>
      <w:r>
        <w:t xml:space="preserve">H3: Fine substrate and decomposition (Boye)</w:t>
      </w:r>
    </w:p>
    <w:p>
      <w:pPr>
        <w:spacing w:after="120" w:line="360"/>
      </w:pPr>
      <w:r>
        <w:t xml:space="preserve">I hypothesize that a higher proportion of fine substrate, including fine particulate organic matter (FPOM) and sand (psammal), negatively affects total leaf decomposition in the Boye catchment through the burial of leaf material and reduced habitat accessibility for shredding macroinvertebrates (Lepori et al., 2005). At the same time, I expect fine substrate accumulation to enhance microbial decomposition, as prolonged contact time between submerged leaf material and the surrounding water column provides greater opportunity for fungal and bacterial colonization (Pascoal &amp; Cássio, 2004). Field observations at most Boye reaches indicated low flow and visible accumulation of fine material on the streambed, supporting the expectation of substrate-mediated effects on decomposition.</w:t>
      </w:r>
    </w:p>
    <w:p>
      <w:pPr>
        <w:spacing w:after="300" w:before="80"/>
      </w:pPr>
      <w:r>
        <w:rPr>
          <w:b/>
          <w:bCs/>
          <w:color w:val="4472C4"/>
          <w:sz w:val="20"/>
          <w:szCs w:val="20"/>
        </w:rPr>
        <w:t xml:space="preserve">Comments addressed: </w:t>
      </w:r>
      <w:r>
        <w:rPr>
          <w:i/>
          <w:iCs/>
          <w:color w:val="4472C4"/>
          <w:sz w:val="20"/>
          <w:szCs w:val="20"/>
        </w:rPr>
        <w:t xml:space="preserve">(9) Broadened from FPOM alone to include sand/psammal (Psam_pct), as fine inorganic substrate can also bury leaf material. (10) Consistent terminology used throughout: "total leaf decomposition" and "microbial decomposition" are clearly distinguished. (11) Citations added for mechanistic claims about shredder habitat reduction and microbial colonization.</w:t>
      </w:r>
    </w:p>
    <w:p>
      <w:pPr>
        <w:pStyle w:val="Heading2"/>
      </w:pPr>
      <w:r>
        <w:t xml:space="preserve">H4: Coarse organic substrate and decomposition (Kinzig)</w:t>
      </w:r>
    </w:p>
    <w:p>
      <w:pPr>
        <w:spacing w:after="120" w:line="360"/>
      </w:pPr>
      <w:r>
        <w:t xml:space="preserve">I hypothesize that greater availability of coarse particulate organic matter (CPOM) positively enhances total leaf decomposition in the Kinzig catchment. Abundant coarse organic substrate supports a more diverse and abundant shredder community (Graça et al., 2001), thereby increasing the macroinvertebrate contribution to overall leaf mass loss. This hypothesis complements H3 by addressing the role of organic substrate availability across the two catchments: while fine substrate burial may suppress macroinvertebrate-mediated decomposition in Boye, coarse substrate availability may facilitate it in Kinzig.</w:t>
      </w:r>
    </w:p>
    <w:p>
      <w:pPr>
        <w:spacing w:after="300" w:before="80"/>
      </w:pPr>
      <w:r>
        <w:rPr>
          <w:b/>
          <w:bCs/>
          <w:color w:val="4472C4"/>
          <w:sz w:val="20"/>
          <w:szCs w:val="20"/>
        </w:rPr>
        <w:t xml:space="preserve">Comments addressed: </w:t>
      </w:r>
      <w:r>
        <w:rPr>
          <w:i/>
          <w:iCs/>
          <w:color w:val="4472C4"/>
          <w:sz w:val="20"/>
          <w:szCs w:val="20"/>
        </w:rPr>
        <w:t xml:space="preserve">(15) Reduced from five to four hypotheses by consolidating former H2 and H4 into the comparative H2. H4 is explicitly linked to H3, following Dr. Schreiner's observation that these go in a similar direction across the two catchments. Decomposition type is specified as "total" to distinguish from microbial.</w:t>
      </w:r>
    </w:p>
    <w:p>
      <w:pPr>
        <w:pBdr>
          <w:bottom w:val="single" w:color="999999" w:sz="6" w:space="1"/>
        </w:pBdr>
        <w:spacing w:after="200" w:before="200"/>
      </w:pPr>
    </w:p>
    <w:p>
      <w:pPr>
        <w:pStyle w:val="Heading2"/>
      </w:pPr>
      <w:r>
        <w:t xml:space="preserve">Summary of variables used</w:t>
      </w:r>
    </w:p>
    <w:p>
      <w:pPr>
        <w:spacing w:after="80" w:line="360"/>
      </w:pPr>
      <w:r>
        <w:rPr>
          <w:b/>
          <w:bCs/>
        </w:rPr>
        <w:t xml:space="preserve">H1: </w:t>
      </w:r>
      <w:r>
        <w:t xml:space="preserve">Pct_Agri (proportion of agricultural land use), Conductivity_uS_cm (conductivity)</w:t>
      </w:r>
    </w:p>
    <w:p>
      <w:pPr>
        <w:spacing w:after="80" w:line="360"/>
      </w:pPr>
      <w:r>
        <w:rPr>
          <w:b/>
          <w:bCs/>
        </w:rPr>
        <w:t xml:space="preserve">H2 (Boye component): </w:t>
      </w:r>
      <w:r>
        <w:t xml:space="preserve">Cd_mg_L, Cu_mg_L, Fe_mg_L, Ni_mg_L, Pb_mg_L, Zn_mg_L (individual trace metals; consider toxic unit calculation)</w:t>
      </w:r>
    </w:p>
    <w:p>
      <w:pPr>
        <w:spacing w:after="80" w:line="360"/>
      </w:pPr>
      <w:r>
        <w:rPr>
          <w:b/>
          <w:bCs/>
        </w:rPr>
        <w:t xml:space="preserve">H2 (Kinzig component): </w:t>
      </w:r>
      <w:r>
        <w:t xml:space="preserve">NO3_mg_L (nitrate), Ortho_PO4_mg_L (orthophosphate), NH4_mg_L (ammonium)</w:t>
      </w:r>
    </w:p>
    <w:p>
      <w:pPr>
        <w:spacing w:after="80" w:line="360"/>
      </w:pPr>
      <w:r>
        <w:rPr>
          <w:b/>
          <w:bCs/>
        </w:rPr>
        <w:t xml:space="preserve">H3: </w:t>
      </w:r>
      <w:r>
        <w:t xml:space="preserve">FPOM_pct (fine particulate organic matter), Psam_pct (psammal/sand)</w:t>
      </w:r>
    </w:p>
    <w:p>
      <w:pPr>
        <w:spacing w:after="200" w:line="360"/>
      </w:pPr>
      <w:r>
        <w:rPr>
          <w:b/>
          <w:bCs/>
        </w:rPr>
        <w:t xml:space="preserve">H4: </w:t>
      </w:r>
      <w:r>
        <w:t xml:space="preserve">CPOM_pct (coarse particulate organic matter)</w:t>
      </w:r>
    </w:p>
    <w:p>
      <w:pPr>
        <w:pStyle w:val="Heading2"/>
      </w:pPr>
      <w:r>
        <w:t xml:space="preserve">Comment-by-comment checklist</w:t>
      </w:r>
    </w:p>
    <w:p>
      <w:pPr>
        <w:spacing w:after="100" w:line="300"/>
      </w:pPr>
      <w:r>
        <w:rPr>
          <w:b/>
          <w:bCs/>
          <w:sz w:val="20"/>
          <w:szCs w:val="20"/>
        </w:rPr>
        <w:t xml:space="preserve">Comment 1 </w:t>
      </w:r>
      <w:r>
        <w:rPr>
          <w:b/>
          <w:bCs/>
          <w:color w:val="4472C4"/>
          <w:sz w:val="20"/>
          <w:szCs w:val="20"/>
        </w:rPr>
        <w:t xml:space="preserve">[H1]</w:t>
      </w:r>
      <w:r>
        <w:rPr>
          <w:sz w:val="20"/>
          <w:szCs w:val="20"/>
        </w:rPr>
        <w:t xml:space="preserve"> "Land use intensity" has no data support </w:t>
      </w:r>
      <w:r>
        <w:rPr>
          <w:color w:val="2E7D32"/>
          <w:sz w:val="20"/>
          <w:szCs w:val="20"/>
        </w:rPr>
        <w:t xml:space="preserve">→ Replaced with "proportion of agricultural land use" (Pct_Agri)</w:t>
      </w:r>
    </w:p>
    <w:p>
      <w:pPr>
        <w:spacing w:after="100" w:line="300"/>
      </w:pPr>
      <w:r>
        <w:rPr>
          <w:b/>
          <w:bCs/>
          <w:sz w:val="20"/>
          <w:szCs w:val="20"/>
        </w:rPr>
        <w:t xml:space="preserve">Comment 2 </w:t>
      </w:r>
      <w:r>
        <w:rPr>
          <w:b/>
          <w:bCs/>
          <w:color w:val="4472C4"/>
          <w:sz w:val="20"/>
          <w:szCs w:val="20"/>
        </w:rPr>
        <w:t xml:space="preserve">[H1]</w:t>
      </w:r>
      <w:r>
        <w:rPr>
          <w:sz w:val="20"/>
          <w:szCs w:val="20"/>
        </w:rPr>
        <w:t xml:space="preserve"> "Combined with" is ambiguous (interaction vs. additive?) </w:t>
      </w:r>
      <w:r>
        <w:rPr>
          <w:color w:val="2E7D32"/>
          <w:sz w:val="20"/>
          <w:szCs w:val="20"/>
        </w:rPr>
        <w:t xml:space="preserve">→ Replaced with "as well as"</w:t>
      </w:r>
    </w:p>
    <w:p>
      <w:pPr>
        <w:spacing w:after="100" w:line="300"/>
      </w:pPr>
      <w:r>
        <w:rPr>
          <w:b/>
          <w:bCs/>
          <w:sz w:val="20"/>
          <w:szCs w:val="20"/>
        </w:rPr>
        <w:t xml:space="preserve">Comment 3 </w:t>
      </w:r>
      <w:r>
        <w:rPr>
          <w:b/>
          <w:bCs/>
          <w:color w:val="4472C4"/>
          <w:sz w:val="20"/>
          <w:szCs w:val="20"/>
        </w:rPr>
        <w:t xml:space="preserve">[H1]</w:t>
      </w:r>
      <w:r>
        <w:rPr>
          <w:sz w:val="20"/>
          <w:szCs w:val="20"/>
        </w:rPr>
        <w:t xml:space="preserve"> "Dissolved ions (industrial input)" is vague </w:t>
      </w:r>
      <w:r>
        <w:rPr>
          <w:color w:val="2E7D32"/>
          <w:sz w:val="20"/>
          <w:szCs w:val="20"/>
        </w:rPr>
        <w:t xml:space="preserve">→ Replaced with "conductivity" (Conductivity_uS_cm), a measurable integrative variable</w:t>
      </w:r>
    </w:p>
    <w:p>
      <w:pPr>
        <w:spacing w:after="100" w:line="300"/>
      </w:pPr>
      <w:r>
        <w:rPr>
          <w:b/>
          <w:bCs/>
          <w:sz w:val="20"/>
          <w:szCs w:val="20"/>
        </w:rPr>
        <w:t xml:space="preserve">Comment 4 </w:t>
      </w:r>
      <w:r>
        <w:rPr>
          <w:b/>
          <w:bCs/>
          <w:color w:val="4472C4"/>
          <w:sz w:val="20"/>
          <w:szCs w:val="20"/>
        </w:rPr>
        <w:t xml:space="preserve">[H1–H4]</w:t>
      </w:r>
      <w:r>
        <w:rPr>
          <w:sz w:val="20"/>
          <w:szCs w:val="20"/>
        </w:rPr>
        <w:t xml:space="preserve"> Unclear whether referring to microbial, total, or both decomposition </w:t>
      </w:r>
      <w:r>
        <w:rPr>
          <w:color w:val="2E7D32"/>
          <w:sz w:val="20"/>
          <w:szCs w:val="20"/>
        </w:rPr>
        <w:t xml:space="preserve">→ H1 uses "leaf decomposition" (general); H2–H4 each specify microbial or total</w:t>
      </w:r>
    </w:p>
    <w:p>
      <w:pPr>
        <w:spacing w:after="100" w:line="300"/>
      </w:pPr>
      <w:r>
        <w:rPr>
          <w:b/>
          <w:bCs/>
          <w:sz w:val="20"/>
          <w:szCs w:val="20"/>
        </w:rPr>
        <w:t xml:space="preserve">Comment 5 </w:t>
      </w:r>
      <w:r>
        <w:rPr>
          <w:b/>
          <w:bCs/>
          <w:color w:val="4472C4"/>
          <w:sz w:val="20"/>
          <w:szCs w:val="20"/>
        </w:rPr>
        <w:t xml:space="preserve">[H1]</w:t>
      </w:r>
      <w:r>
        <w:rPr>
          <w:sz w:val="20"/>
          <w:szCs w:val="20"/>
        </w:rPr>
        <w:t xml:space="preserve"> Justification sentence reads as personal, not literature-based </w:t>
      </w:r>
      <w:r>
        <w:rPr>
          <w:color w:val="2E7D32"/>
          <w:sz w:val="20"/>
          <w:szCs w:val="20"/>
        </w:rPr>
        <w:t xml:space="preserve">→ Removed; rationale now grounded in Schreiner et al. (2023) and Bundschuh et al. (2021)</w:t>
      </w:r>
    </w:p>
    <w:p>
      <w:pPr>
        <w:spacing w:after="100" w:line="300"/>
      </w:pPr>
      <w:r>
        <w:rPr>
          <w:b/>
          <w:bCs/>
          <w:sz w:val="20"/>
          <w:szCs w:val="20"/>
        </w:rPr>
        <w:t xml:space="preserve">Comment 6 </w:t>
      </w:r>
      <w:r>
        <w:rPr>
          <w:b/>
          <w:bCs/>
          <w:color w:val="4472C4"/>
          <w:sz w:val="20"/>
          <w:szCs w:val="20"/>
        </w:rPr>
        <w:t xml:space="preserve">[H2]</w:t>
      </w:r>
      <w:r>
        <w:rPr>
          <w:sz w:val="20"/>
          <w:szCs w:val="20"/>
        </w:rPr>
        <w:t xml:space="preserve"> Suggested comparative hypothesis contrasting catchments </w:t>
      </w:r>
      <w:r>
        <w:rPr>
          <w:color w:val="2E7D32"/>
          <w:sz w:val="20"/>
          <w:szCs w:val="20"/>
        </w:rPr>
        <w:t xml:space="preserve">→ New H2 directly contrasts Boye (trace metals, negative) vs. Kinzig (nutrients, positive)</w:t>
      </w:r>
    </w:p>
    <w:p>
      <w:pPr>
        <w:spacing w:after="100" w:line="300"/>
      </w:pPr>
      <w:r>
        <w:rPr>
          <w:b/>
          <w:bCs/>
          <w:sz w:val="20"/>
          <w:szCs w:val="20"/>
        </w:rPr>
        <w:t xml:space="preserve">Comment 7 </w:t>
      </w:r>
      <w:r>
        <w:rPr>
          <w:b/>
          <w:bCs/>
          <w:color w:val="4472C4"/>
          <w:sz w:val="20"/>
          <w:szCs w:val="20"/>
        </w:rPr>
        <w:t xml:space="preserve">[H2]</w:t>
      </w:r>
      <w:r>
        <w:rPr>
          <w:sz w:val="20"/>
          <w:szCs w:val="20"/>
        </w:rPr>
        <w:t xml:space="preserve"> Sum concentration may mask toxicity; Cu/As can be agricultural </w:t>
      </w:r>
      <w:r>
        <w:rPr>
          <w:color w:val="2E7D32"/>
          <w:sz w:val="20"/>
          <w:szCs w:val="20"/>
        </w:rPr>
        <w:t xml:space="preserve">→ Toxic unit approach referenced; individual metals listed; agricultural origin of certain metals acknowledged</w:t>
      </w:r>
    </w:p>
    <w:p>
      <w:pPr>
        <w:spacing w:after="100" w:line="300"/>
      </w:pPr>
      <w:r>
        <w:rPr>
          <w:b/>
          <w:bCs/>
          <w:sz w:val="20"/>
          <w:szCs w:val="20"/>
        </w:rPr>
        <w:t xml:space="preserve">Comment 8 </w:t>
      </w:r>
      <w:r>
        <w:rPr>
          <w:b/>
          <w:bCs/>
          <w:color w:val="4472C4"/>
          <w:sz w:val="20"/>
          <w:szCs w:val="20"/>
        </w:rPr>
        <w:t xml:space="preserve">[H2]</w:t>
      </w:r>
      <w:r>
        <w:rPr>
          <w:sz w:val="20"/>
          <w:szCs w:val="20"/>
        </w:rPr>
        <w:t xml:space="preserve"> Specify which decomposition type </w:t>
      </w:r>
      <w:r>
        <w:rPr>
          <w:color w:val="2E7D32"/>
          <w:sz w:val="20"/>
          <w:szCs w:val="20"/>
        </w:rPr>
        <w:t xml:space="preserve">→ "Microbial leaf decomposition" stated explicitly</w:t>
      </w:r>
    </w:p>
    <w:p>
      <w:pPr>
        <w:spacing w:after="100" w:line="300"/>
      </w:pPr>
      <w:r>
        <w:rPr>
          <w:b/>
          <w:bCs/>
          <w:sz w:val="20"/>
          <w:szCs w:val="20"/>
        </w:rPr>
        <w:t xml:space="preserve">Comment 9 </w:t>
      </w:r>
      <w:r>
        <w:rPr>
          <w:b/>
          <w:bCs/>
          <w:color w:val="4472C4"/>
          <w:sz w:val="20"/>
          <w:szCs w:val="20"/>
        </w:rPr>
        <w:t xml:space="preserve">[H3]</w:t>
      </w:r>
      <w:r>
        <w:rPr>
          <w:sz w:val="20"/>
          <w:szCs w:val="20"/>
        </w:rPr>
        <w:t xml:space="preserve"> Not only FPOM; also psammal/sand </w:t>
      </w:r>
      <w:r>
        <w:rPr>
          <w:color w:val="2E7D32"/>
          <w:sz w:val="20"/>
          <w:szCs w:val="20"/>
        </w:rPr>
        <w:t xml:space="preserve">→ Broadened to "fine substrate, including FPOM and sand (psammal)"</w:t>
      </w:r>
    </w:p>
    <w:p>
      <w:pPr>
        <w:spacing w:after="100" w:line="300"/>
      </w:pPr>
      <w:r>
        <w:rPr>
          <w:b/>
          <w:bCs/>
          <w:sz w:val="20"/>
          <w:szCs w:val="20"/>
        </w:rPr>
        <w:t xml:space="preserve">Comment 10 </w:t>
      </w:r>
      <w:r>
        <w:rPr>
          <w:b/>
          <w:bCs/>
          <w:color w:val="4472C4"/>
          <w:sz w:val="20"/>
          <w:szCs w:val="20"/>
        </w:rPr>
        <w:t xml:space="preserve">[All]</w:t>
      </w:r>
      <w:r>
        <w:rPr>
          <w:sz w:val="20"/>
          <w:szCs w:val="20"/>
        </w:rPr>
        <w:t xml:space="preserve"> Consistent terminology needed </w:t>
      </w:r>
      <w:r>
        <w:rPr>
          <w:color w:val="2E7D32"/>
          <w:sz w:val="20"/>
          <w:szCs w:val="20"/>
        </w:rPr>
        <w:t xml:space="preserve">→ "Microbial decomposition" and "total leaf decomposition" used consistently throughout</w:t>
      </w:r>
    </w:p>
    <w:p>
      <w:pPr>
        <w:spacing w:after="100" w:line="300"/>
      </w:pPr>
      <w:r>
        <w:rPr>
          <w:b/>
          <w:bCs/>
          <w:sz w:val="20"/>
          <w:szCs w:val="20"/>
        </w:rPr>
        <w:t xml:space="preserve">Comment 11 </w:t>
      </w:r>
      <w:r>
        <w:rPr>
          <w:b/>
          <w:bCs/>
          <w:color w:val="4472C4"/>
          <w:sz w:val="20"/>
          <w:szCs w:val="20"/>
        </w:rPr>
        <w:t xml:space="preserve">[H3, H4]</w:t>
      </w:r>
      <w:r>
        <w:rPr>
          <w:sz w:val="20"/>
          <w:szCs w:val="20"/>
        </w:rPr>
        <w:t xml:space="preserve"> Add citations for mechanistic claims </w:t>
      </w:r>
      <w:r>
        <w:rPr>
          <w:color w:val="2E7D32"/>
          <w:sz w:val="20"/>
          <w:szCs w:val="20"/>
        </w:rPr>
        <w:t xml:space="preserve">→ Lepori et al. (2005), Pascoal &amp; Cássio (2004), Graça et al. (2001) added</w:t>
      </w:r>
    </w:p>
    <w:p>
      <w:pPr>
        <w:spacing w:after="100" w:line="300"/>
      </w:pPr>
      <w:r>
        <w:rPr>
          <w:b/>
          <w:bCs/>
          <w:sz w:val="20"/>
          <w:szCs w:val="20"/>
        </w:rPr>
        <w:t xml:space="preserve">Comment 12 </w:t>
      </w:r>
      <w:r>
        <w:rPr>
          <w:b/>
          <w:bCs/>
          <w:color w:val="4472C4"/>
          <w:sz w:val="20"/>
          <w:szCs w:val="20"/>
        </w:rPr>
        <w:t xml:space="preserve">[H1, H2]</w:t>
      </w:r>
      <w:r>
        <w:rPr>
          <w:sz w:val="20"/>
          <w:szCs w:val="20"/>
        </w:rPr>
        <w:t xml:space="preserve"> H4 contradicts H1 on agriculture direction </w:t>
      </w:r>
      <w:r>
        <w:rPr>
          <w:color w:val="2E7D32"/>
          <w:sz w:val="20"/>
          <w:szCs w:val="20"/>
        </w:rPr>
        <w:t xml:space="preserve">→ Resolved: H1 is about land use proportion (negative); H2 Kinzig component is about nutrient concentrations (positive), a different variable</w:t>
      </w:r>
    </w:p>
    <w:p>
      <w:pPr>
        <w:spacing w:after="100" w:line="300"/>
      </w:pPr>
      <w:r>
        <w:rPr>
          <w:b/>
          <w:bCs/>
          <w:sz w:val="20"/>
          <w:szCs w:val="20"/>
        </w:rPr>
        <w:t xml:space="preserve">Comment 13 </w:t>
      </w:r>
      <w:r>
        <w:rPr>
          <w:b/>
          <w:bCs/>
          <w:color w:val="4472C4"/>
          <w:sz w:val="20"/>
          <w:szCs w:val="20"/>
        </w:rPr>
        <w:t xml:space="preserve">[H2]</w:t>
      </w:r>
      <w:r>
        <w:rPr>
          <w:sz w:val="20"/>
          <w:szCs w:val="20"/>
        </w:rPr>
        <w:t xml:space="preserve"> Use nutrients directly, not land use as proxy </w:t>
      </w:r>
      <w:r>
        <w:rPr>
          <w:color w:val="2E7D32"/>
          <w:sz w:val="20"/>
          <w:szCs w:val="20"/>
        </w:rPr>
        <w:t xml:space="preserve">→ NO3 and PO4 concentrations used as predictor variables in H2</w:t>
      </w:r>
    </w:p>
    <w:p>
      <w:pPr>
        <w:spacing w:after="100" w:line="300"/>
      </w:pPr>
      <w:r>
        <w:rPr>
          <w:b/>
          <w:bCs/>
          <w:sz w:val="20"/>
          <w:szCs w:val="20"/>
        </w:rPr>
        <w:t xml:space="preserve">Comment 14 </w:t>
      </w:r>
      <w:r>
        <w:rPr>
          <w:b/>
          <w:bCs/>
          <w:color w:val="4472C4"/>
          <w:sz w:val="20"/>
          <w:szCs w:val="20"/>
        </w:rPr>
        <w:t xml:space="preserve">[H2]</w:t>
      </w:r>
      <w:r>
        <w:rPr>
          <w:sz w:val="20"/>
          <w:szCs w:val="20"/>
        </w:rPr>
        <w:t xml:space="preserve"> "Primary responsible for initial breakdown" is confusing for microbial hypothesis </w:t>
      </w:r>
      <w:r>
        <w:rPr>
          <w:color w:val="2E7D32"/>
          <w:sz w:val="20"/>
          <w:szCs w:val="20"/>
        </w:rPr>
        <w:t xml:space="preserve">→ Rephrased to "stimulate fungal and bacterial decomposer activity"</w:t>
      </w:r>
    </w:p>
    <w:p>
      <w:pPr>
        <w:spacing w:after="100" w:line="300"/>
      </w:pPr>
      <w:r>
        <w:rPr>
          <w:b/>
          <w:bCs/>
          <w:sz w:val="20"/>
          <w:szCs w:val="20"/>
        </w:rPr>
        <w:t xml:space="preserve">Comment 15 </w:t>
      </w:r>
      <w:r>
        <w:rPr>
          <w:b/>
          <w:bCs/>
          <w:color w:val="4472C4"/>
          <w:sz w:val="20"/>
          <w:szCs w:val="20"/>
        </w:rPr>
        <w:t xml:space="preserve">[Structure]</w:t>
      </w:r>
      <w:r>
        <w:rPr>
          <w:sz w:val="20"/>
          <w:szCs w:val="20"/>
        </w:rPr>
        <w:t xml:space="preserve"> Five hypotheses may be too many </w:t>
      </w:r>
      <w:r>
        <w:rPr>
          <w:color w:val="2E7D32"/>
          <w:sz w:val="20"/>
          <w:szCs w:val="20"/>
        </w:rPr>
        <w:t xml:space="preserve">→ Reduced to four by consolidating former H2 + H4 into the comparative H2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2026-03-25T09:35:45.315Z</dcterms:created>
  <dcterms:modified xsi:type="dcterms:W3CDTF">2026-03-25T09:35:45.315Z</dcterms:modified>
</cp:coreProperties>
</file>

<file path=docProps/custom.xml><?xml version="1.0" encoding="utf-8"?>
<Properties xmlns="http://schemas.openxmlformats.org/officeDocument/2006/custom-properties" xmlns:vt="http://schemas.openxmlformats.org/officeDocument/2006/docPropsVTypes"/>
</file>